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D20518" w14:paraId="37238CA5" w14:textId="77777777" w:rsidTr="00D25CB4">
        <w:tc>
          <w:tcPr>
            <w:tcW w:w="4786" w:type="dxa"/>
            <w:hideMark/>
          </w:tcPr>
          <w:p w14:paraId="37B8645F" w14:textId="77777777" w:rsidR="007E1D85" w:rsidRPr="00D20518" w:rsidRDefault="007E1D85" w:rsidP="00AF47AA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D20518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14:paraId="37EF6BB3" w14:textId="77777777" w:rsidR="006A475E" w:rsidRPr="00D20518" w:rsidRDefault="006A475E" w:rsidP="006A47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D2051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77038E09" w14:textId="77777777" w:rsidR="006A475E" w:rsidRPr="00D20518" w:rsidRDefault="006A475E" w:rsidP="006A47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2051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5E6CF191" w14:textId="77777777" w:rsidR="006A475E" w:rsidRPr="00D20518" w:rsidRDefault="006A475E" w:rsidP="006A47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2051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РГУ «Комитет  медицинского и фармацевтического контроля  Министерства здравоохранения </w:t>
            </w:r>
          </w:p>
          <w:p w14:paraId="147C4316" w14:textId="77777777" w:rsidR="006A475E" w:rsidRPr="00D20518" w:rsidRDefault="006A475E" w:rsidP="006A47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2051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Республики Казахстан»</w:t>
            </w:r>
          </w:p>
          <w:p w14:paraId="06D3DD84" w14:textId="77777777" w:rsidR="003317ED" w:rsidRPr="003317ED" w:rsidRDefault="003317ED" w:rsidP="003317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317E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 «</w:t>
            </w:r>
            <w:proofErr w:type="gramStart"/>
            <w:r w:rsidRPr="003317E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03»  02</w:t>
            </w:r>
            <w:proofErr w:type="gramEnd"/>
            <w:r w:rsidRPr="003317E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 2025 г.</w:t>
            </w:r>
          </w:p>
          <w:p w14:paraId="20BEA089" w14:textId="08E5CDE0" w:rsidR="00523D82" w:rsidRPr="00D20518" w:rsidRDefault="003317ED" w:rsidP="003317ED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3317E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№N083405</w:t>
            </w:r>
          </w:p>
        </w:tc>
        <w:tc>
          <w:tcPr>
            <w:tcW w:w="4536" w:type="dxa"/>
          </w:tcPr>
          <w:p w14:paraId="4C215E18" w14:textId="77777777" w:rsidR="00523D82" w:rsidRPr="00D20518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D2051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D20518" w14:paraId="1A3FA0C7" w14:textId="77777777" w:rsidTr="00D25CB4">
        <w:tc>
          <w:tcPr>
            <w:tcW w:w="4786" w:type="dxa"/>
          </w:tcPr>
          <w:p w14:paraId="69D76C2F" w14:textId="77777777" w:rsidR="00523D82" w:rsidRPr="00D20518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85E238A" w14:textId="77777777" w:rsidR="00523D82" w:rsidRPr="00D20518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E861E28" w14:textId="77777777" w:rsidR="00523D82" w:rsidRPr="00D20518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1607A745" w14:textId="77777777" w:rsidR="00280121" w:rsidRPr="00D20518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A8C5A7" w14:textId="77777777" w:rsidR="00D76048" w:rsidRPr="00D20518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6BB36B5C" w14:textId="77777777" w:rsidR="00372082" w:rsidRPr="00D20518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2AA480" w14:textId="77777777" w:rsidR="00280121" w:rsidRPr="00D20518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D2051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D2051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D2051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47F5BAE9" w14:textId="77777777" w:rsidR="00B01011" w:rsidRDefault="00D724CC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70899447"/>
      <w:proofErr w:type="spellStart"/>
      <w:r w:rsidRPr="00D724CC">
        <w:rPr>
          <w:rFonts w:ascii="Times New Roman" w:eastAsia="Times New Roman" w:hAnsi="Times New Roman"/>
          <w:sz w:val="24"/>
          <w:szCs w:val="24"/>
          <w:lang w:eastAsia="ru-RU"/>
        </w:rPr>
        <w:t>Пантопразол</w:t>
      </w:r>
      <w:bookmarkEnd w:id="0"/>
      <w:proofErr w:type="spellEnd"/>
      <w:r w:rsidRPr="00D724CC">
        <w:rPr>
          <w:rFonts w:ascii="Times New Roman" w:eastAsia="Times New Roman" w:hAnsi="Times New Roman"/>
          <w:sz w:val="24"/>
          <w:szCs w:val="24"/>
          <w:lang w:eastAsia="ru-RU"/>
        </w:rPr>
        <w:t xml:space="preserve">, 40 мг, </w:t>
      </w:r>
      <w:bookmarkStart w:id="1" w:name="_Hlk170899459"/>
      <w:r w:rsidRPr="00D724CC">
        <w:rPr>
          <w:rFonts w:ascii="Times New Roman" w:eastAsia="Times New Roman" w:hAnsi="Times New Roman"/>
          <w:sz w:val="24"/>
          <w:szCs w:val="24"/>
          <w:lang w:eastAsia="ru-RU"/>
        </w:rPr>
        <w:t>порошок для приготовления раствора для инъекций</w:t>
      </w:r>
      <w:bookmarkEnd w:id="1"/>
    </w:p>
    <w:p w14:paraId="39105283" w14:textId="77777777" w:rsidR="00D724CC" w:rsidRPr="00D20518" w:rsidRDefault="00D724CC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14:paraId="423A4B93" w14:textId="77777777" w:rsidR="003C07E3" w:rsidRPr="00D20518" w:rsidRDefault="003C07E3" w:rsidP="0078568D">
      <w:pPr>
        <w:spacing w:after="0" w:line="240" w:lineRule="auto"/>
        <w:jc w:val="both"/>
        <w:rPr>
          <w:sz w:val="24"/>
          <w:szCs w:val="24"/>
        </w:rPr>
      </w:pPr>
      <w:bookmarkStart w:id="2" w:name="2175220285"/>
      <w:bookmarkStart w:id="3" w:name="OCRUncertain022"/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2"/>
    <w:p w14:paraId="51721407" w14:textId="77777777" w:rsidR="001872CE" w:rsidRPr="00D20518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ru-RU"/>
        </w:rPr>
      </w:pPr>
      <w:r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2.1 Общее описание</w:t>
      </w:r>
      <w:r w:rsidRPr="00D205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20773147" w14:textId="77777777" w:rsidR="00D724CC" w:rsidRDefault="00D724CC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724C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Натрия </w:t>
      </w:r>
      <w:proofErr w:type="spellStart"/>
      <w:r w:rsidRPr="00D724C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пантопразол</w:t>
      </w:r>
      <w:proofErr w:type="spellEnd"/>
    </w:p>
    <w:p w14:paraId="17AA3761" w14:textId="77777777" w:rsidR="00D60C5A" w:rsidRPr="00D20518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2.2 Качественный и количественный состав</w:t>
      </w:r>
    </w:p>
    <w:p w14:paraId="781B3BC2" w14:textId="77777777" w:rsidR="00D724CC" w:rsidRPr="00D60BCF" w:rsidRDefault="00D724CC" w:rsidP="00D724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4" w:name="2175220286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Один флакон</w:t>
      </w:r>
      <w:r w:rsidRPr="00D60B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 </w:t>
      </w:r>
    </w:p>
    <w:p w14:paraId="47D0722B" w14:textId="77777777" w:rsidR="00D724CC" w:rsidRPr="00812A81" w:rsidRDefault="00D724CC" w:rsidP="00D724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0BC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-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812A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атрия </w:t>
      </w:r>
      <w:proofErr w:type="spellStart"/>
      <w:r w:rsidRPr="00812A81">
        <w:rPr>
          <w:rFonts w:ascii="Times New Roman" w:eastAsia="Times New Roman" w:hAnsi="Times New Roman"/>
          <w:bCs/>
          <w:sz w:val="24"/>
          <w:szCs w:val="24"/>
          <w:lang w:eastAsia="ru-RU"/>
        </w:rPr>
        <w:t>пантопразола</w:t>
      </w:r>
      <w:proofErr w:type="spellEnd"/>
      <w:r w:rsidRPr="00812A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(эквивалентно </w:t>
      </w:r>
      <w:proofErr w:type="spellStart"/>
      <w:r w:rsidRPr="00812A81">
        <w:rPr>
          <w:rFonts w:ascii="Times New Roman" w:eastAsia="Times New Roman" w:hAnsi="Times New Roman"/>
          <w:bCs/>
          <w:sz w:val="24"/>
          <w:szCs w:val="24"/>
          <w:lang w:eastAsia="ru-RU"/>
        </w:rPr>
        <w:t>пантопразолу</w:t>
      </w:r>
      <w:proofErr w:type="spellEnd"/>
      <w:r w:rsidRPr="00812A81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40.0 мг;</w:t>
      </w:r>
    </w:p>
    <w:p w14:paraId="22B8BCA8" w14:textId="77777777" w:rsidR="00D724CC" w:rsidRPr="00D60BCF" w:rsidRDefault="00D724CC" w:rsidP="00D724CC">
      <w:pPr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bookmarkStart w:id="5" w:name="2176066297"/>
      <w:r w:rsidRPr="00D60BCF">
        <w:rPr>
          <w:rFonts w:ascii="Times New Roman" w:hAnsi="Times New Roman"/>
          <w:i/>
          <w:iCs/>
          <w:sz w:val="24"/>
          <w:szCs w:val="24"/>
          <w:lang w:eastAsia="ru-RU"/>
        </w:rPr>
        <w:t>вспомогательные вещества:</w:t>
      </w:r>
      <w:r w:rsidRPr="00D60BC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bookmarkEnd w:id="5"/>
      <w:r w:rsidRPr="00812A81">
        <w:rPr>
          <w:rFonts w:ascii="Times New Roman" w:hAnsi="Times New Roman"/>
          <w:iCs/>
          <w:sz w:val="24"/>
          <w:szCs w:val="24"/>
          <w:lang w:eastAsia="ru-RU"/>
        </w:rPr>
        <w:t>натрия гидроксид до рН.</w:t>
      </w:r>
    </w:p>
    <w:p w14:paraId="242A3520" w14:textId="77777777" w:rsidR="00D724CC" w:rsidRPr="00D60BCF" w:rsidRDefault="00D724CC" w:rsidP="00D72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D60BCF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D60BCF">
        <w:rPr>
          <w:rFonts w:ascii="Times New Roman" w:hAnsi="Times New Roman"/>
          <w:sz w:val="24"/>
          <w:szCs w:val="24"/>
          <w:lang w:eastAsia="ru-RU"/>
        </w:rPr>
        <w:t>.</w:t>
      </w:r>
    </w:p>
    <w:p w14:paraId="0244DA08" w14:textId="77777777" w:rsidR="00881BDD" w:rsidRPr="00D20518" w:rsidRDefault="00881BD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6D0A5F" w14:textId="77777777" w:rsidR="00B7231F" w:rsidRPr="00D2051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4"/>
    <w:p w14:paraId="4033B176" w14:textId="77777777" w:rsidR="00D724CC" w:rsidRPr="00D724CC" w:rsidRDefault="00D724CC" w:rsidP="00D724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D724C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 xml:space="preserve">Порошок для приготовления раствора для инъекций. </w:t>
      </w:r>
    </w:p>
    <w:p w14:paraId="1A2BC945" w14:textId="77777777" w:rsidR="00D724CC" w:rsidRPr="00D724CC" w:rsidRDefault="00D724CC" w:rsidP="00D724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</w:pPr>
      <w:bookmarkStart w:id="6" w:name="_Hlk70156534"/>
      <w:r w:rsidRPr="00D724CC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  <w:t>Бел</w:t>
      </w:r>
      <w:r w:rsidRPr="00D724CC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val="kk-KZ" w:eastAsia="hu-HU"/>
        </w:rPr>
        <w:t xml:space="preserve">ого </w:t>
      </w:r>
      <w:r w:rsidRPr="00D724CC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  <w:t xml:space="preserve">или почти белого цвета </w:t>
      </w:r>
      <w:proofErr w:type="spellStart"/>
      <w:r w:rsidRPr="00D724CC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  <w:t>лиофилизированная</w:t>
      </w:r>
      <w:proofErr w:type="spellEnd"/>
      <w:r w:rsidRPr="00D724CC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  <w:t xml:space="preserve"> пробка или порошок.</w:t>
      </w:r>
    </w:p>
    <w:p w14:paraId="1CD527E5" w14:textId="77777777" w:rsidR="00D724CC" w:rsidRPr="00D724CC" w:rsidRDefault="00D724CC" w:rsidP="00D724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</w:pPr>
      <w:r w:rsidRPr="00D724CC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  <w:t>Восстановленный раствор – прозрачный бесцветный или почти бесцветный раствор без видимых частиц</w:t>
      </w:r>
      <w:bookmarkEnd w:id="6"/>
      <w:r w:rsidRPr="00D724CC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  <w:t>.</w:t>
      </w:r>
    </w:p>
    <w:p w14:paraId="38684F23" w14:textId="77777777" w:rsidR="00B7231F" w:rsidRPr="00D20518" w:rsidRDefault="00B7231F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14B0CE7B" w14:textId="77777777" w:rsidR="002C1660" w:rsidRPr="00D2051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3"/>
      <w:r w:rsidR="00384EFD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5DEDF336" w14:textId="77777777" w:rsidR="005444B2" w:rsidRPr="00D20518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D205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D205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D205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D205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0C98571B" w14:textId="77777777" w:rsidR="00AF47AA" w:rsidRPr="00D20518" w:rsidRDefault="00AF47AA" w:rsidP="00AF47A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170899479"/>
      <w:r w:rsidRPr="00D2051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D724CC">
        <w:rPr>
          <w:rFonts w:ascii="Times New Roman" w:hAnsi="Times New Roman"/>
          <w:sz w:val="24"/>
          <w:szCs w:val="24"/>
        </w:rPr>
        <w:t>г</w:t>
      </w:r>
      <w:r w:rsidR="00D724CC" w:rsidRPr="00D724CC">
        <w:rPr>
          <w:rFonts w:ascii="Times New Roman" w:hAnsi="Times New Roman"/>
          <w:sz w:val="24"/>
          <w:szCs w:val="24"/>
        </w:rPr>
        <w:t>астроэзофагеальн</w:t>
      </w:r>
      <w:r w:rsidR="00D724CC">
        <w:rPr>
          <w:rFonts w:ascii="Times New Roman" w:hAnsi="Times New Roman"/>
          <w:sz w:val="24"/>
          <w:szCs w:val="24"/>
        </w:rPr>
        <w:t>ая</w:t>
      </w:r>
      <w:proofErr w:type="spellEnd"/>
      <w:r w:rsidR="00D724CC" w:rsidRPr="00D72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24CC" w:rsidRPr="00D724CC">
        <w:rPr>
          <w:rFonts w:ascii="Times New Roman" w:hAnsi="Times New Roman"/>
          <w:sz w:val="24"/>
          <w:szCs w:val="24"/>
        </w:rPr>
        <w:t>рефлюксн</w:t>
      </w:r>
      <w:r w:rsidR="00D724CC">
        <w:rPr>
          <w:rFonts w:ascii="Times New Roman" w:hAnsi="Times New Roman"/>
          <w:sz w:val="24"/>
          <w:szCs w:val="24"/>
        </w:rPr>
        <w:t>ая</w:t>
      </w:r>
      <w:proofErr w:type="spellEnd"/>
      <w:r w:rsidR="00D724CC" w:rsidRPr="00D724CC">
        <w:rPr>
          <w:rFonts w:ascii="Times New Roman" w:hAnsi="Times New Roman"/>
          <w:sz w:val="24"/>
          <w:szCs w:val="24"/>
        </w:rPr>
        <w:t xml:space="preserve"> болезн</w:t>
      </w:r>
      <w:r w:rsidR="00D724CC">
        <w:rPr>
          <w:rFonts w:ascii="Times New Roman" w:hAnsi="Times New Roman"/>
          <w:sz w:val="24"/>
          <w:szCs w:val="24"/>
        </w:rPr>
        <w:t>ь</w:t>
      </w:r>
      <w:r w:rsidR="00D724CC" w:rsidRPr="00D724CC">
        <w:rPr>
          <w:rFonts w:ascii="Times New Roman" w:hAnsi="Times New Roman"/>
          <w:sz w:val="24"/>
          <w:szCs w:val="24"/>
        </w:rPr>
        <w:t xml:space="preserve"> (ГЭРБ)</w:t>
      </w:r>
    </w:p>
    <w:p w14:paraId="4B525D48" w14:textId="77777777" w:rsidR="00AF47AA" w:rsidRPr="00D20518" w:rsidRDefault="00AF47AA" w:rsidP="00AF47A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t xml:space="preserve">- </w:t>
      </w:r>
      <w:r w:rsidR="00D724CC">
        <w:rPr>
          <w:rFonts w:ascii="Times New Roman" w:hAnsi="Times New Roman"/>
          <w:sz w:val="24"/>
          <w:szCs w:val="24"/>
        </w:rPr>
        <w:t>я</w:t>
      </w:r>
      <w:r w:rsidRPr="00D20518">
        <w:rPr>
          <w:rFonts w:ascii="Times New Roman" w:hAnsi="Times New Roman"/>
          <w:sz w:val="24"/>
          <w:szCs w:val="24"/>
        </w:rPr>
        <w:t>зва желудка и двенадцатиперстной кишки</w:t>
      </w:r>
    </w:p>
    <w:p w14:paraId="31D16F05" w14:textId="77777777" w:rsidR="005444B2" w:rsidRDefault="00AF47AA" w:rsidP="00AF47A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t xml:space="preserve">- </w:t>
      </w:r>
      <w:r w:rsidR="00D724CC">
        <w:rPr>
          <w:rFonts w:ascii="Times New Roman" w:hAnsi="Times New Roman"/>
          <w:sz w:val="24"/>
          <w:szCs w:val="24"/>
        </w:rPr>
        <w:t>с</w:t>
      </w:r>
      <w:r w:rsidRPr="00D20518">
        <w:rPr>
          <w:rFonts w:ascii="Times New Roman" w:hAnsi="Times New Roman"/>
          <w:sz w:val="24"/>
          <w:szCs w:val="24"/>
        </w:rPr>
        <w:t xml:space="preserve">индром </w:t>
      </w:r>
      <w:proofErr w:type="spellStart"/>
      <w:r w:rsidRPr="00D20518">
        <w:rPr>
          <w:rFonts w:ascii="Times New Roman" w:hAnsi="Times New Roman"/>
          <w:sz w:val="24"/>
          <w:szCs w:val="24"/>
        </w:rPr>
        <w:t>Золлингера</w:t>
      </w:r>
      <w:proofErr w:type="spellEnd"/>
      <w:r w:rsidRPr="00D20518">
        <w:rPr>
          <w:rFonts w:ascii="Times New Roman" w:hAnsi="Times New Roman"/>
          <w:sz w:val="24"/>
          <w:szCs w:val="24"/>
        </w:rPr>
        <w:t xml:space="preserve">-Эллисона и другие патологические </w:t>
      </w:r>
      <w:proofErr w:type="spellStart"/>
      <w:r w:rsidRPr="00D20518">
        <w:rPr>
          <w:rFonts w:ascii="Times New Roman" w:hAnsi="Times New Roman"/>
          <w:sz w:val="24"/>
          <w:szCs w:val="24"/>
        </w:rPr>
        <w:t>гиперсекреторные</w:t>
      </w:r>
      <w:proofErr w:type="spellEnd"/>
      <w:r w:rsidRPr="00D20518">
        <w:rPr>
          <w:rFonts w:ascii="Times New Roman" w:hAnsi="Times New Roman"/>
          <w:sz w:val="24"/>
          <w:szCs w:val="24"/>
        </w:rPr>
        <w:t xml:space="preserve"> состояния</w:t>
      </w:r>
    </w:p>
    <w:bookmarkEnd w:id="7"/>
    <w:p w14:paraId="4A9CE0D1" w14:textId="77777777" w:rsidR="00D724CC" w:rsidRPr="00D20518" w:rsidRDefault="00D724CC" w:rsidP="00AF47A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98F22" w14:textId="77777777" w:rsidR="00B7231F" w:rsidRPr="00D2051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2175220274"/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0FA50A0F" w14:textId="77777777" w:rsidR="00891EB8" w:rsidRPr="00D2051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497F9AEB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_Hlk170899680"/>
      <w:bookmarkEnd w:id="8"/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Пантопразол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 назначаться медицинским работником и под соответствующим медицинским наблюдением.</w:t>
      </w:r>
    </w:p>
    <w:p w14:paraId="3F670F6C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Внутривенное введение </w:t>
      </w:r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Пантопразола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рекомендуется только в том случае, если пероральный прием невозможен. Имеются данные о внутривенном применении на срок до 7 дней. Поэтому, как только станет возможной пероральная терапия, лечение </w:t>
      </w:r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пантопразолом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 40 мг в виде порошка для приготовления раствора для инъекций/инфузий следует прекратить и вместо этого назначить </w:t>
      </w:r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пантопразол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 40 мг перорально.</w:t>
      </w:r>
    </w:p>
    <w:p w14:paraId="6FC78B35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Язва желудка и двенадцатиперстной кишки, </w:t>
      </w:r>
      <w:proofErr w:type="spellStart"/>
      <w:r w:rsidR="00D724CC" w:rsidRPr="00D724C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гастроэзофагеальная</w:t>
      </w:r>
      <w:proofErr w:type="spellEnd"/>
      <w:r w:rsidR="00D724CC" w:rsidRPr="00D724C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D724CC" w:rsidRPr="00D724C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рефлюксная</w:t>
      </w:r>
      <w:proofErr w:type="spellEnd"/>
      <w:r w:rsidR="00D724CC" w:rsidRPr="00D724C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болезнь (ГЭРБ)</w:t>
      </w:r>
    </w:p>
    <w:p w14:paraId="55345C73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Рекомендуемая доза для внутривенного введения составляет один флакон </w:t>
      </w:r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пантопразола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 (40 мг) в день.</w:t>
      </w:r>
    </w:p>
    <w:p w14:paraId="54CB8CB4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Синдром </w:t>
      </w:r>
      <w:proofErr w:type="spellStart"/>
      <w:r w:rsidRPr="00D2051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Золлингера</w:t>
      </w:r>
      <w:proofErr w:type="spellEnd"/>
      <w:r w:rsidRPr="00D2051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-Эллисона и другие патологические </w:t>
      </w:r>
      <w:proofErr w:type="spellStart"/>
      <w:r w:rsidRPr="00D2051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гиперсекреторные</w:t>
      </w:r>
      <w:proofErr w:type="spellEnd"/>
      <w:r w:rsidRPr="00D2051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состояния</w:t>
      </w:r>
    </w:p>
    <w:p w14:paraId="1FE1C8EF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Для длительного лечения синдрома </w:t>
      </w:r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Золлингера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-Эллисона и других патологических </w:t>
      </w:r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гиперсекреторных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состояний пациентам следует начинать лечение с суточной дозы </w:t>
      </w:r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пантопразола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 80 мг. После этого дозу можно увеличивать или уменьшать по мере необходимости, ориентируясь на показатели секреции желудочной кислоты. При дозах выше 80 мг в день дозу следует разделить и принимать два раза в день. Временное увеличение дозы </w:t>
      </w:r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пантопразола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 выше 160 мг возможно, но его не следует применять дольше, чем требуется для адекватного контроля кислотности.</w:t>
      </w:r>
    </w:p>
    <w:p w14:paraId="33E62FBF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необходимости быстрого контроля кислотности стартовой дозы </w:t>
      </w:r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пантопразола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 xml:space="preserve"> у большинства пациентов 2 x 80 мг достаточно, чтобы добиться снижения выброса кислоты до целевого диапазона (&lt;10 </w:t>
      </w:r>
      <w:proofErr w:type="spellStart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мэкв</w:t>
      </w:r>
      <w:proofErr w:type="spellEnd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/ч) в течение одного часа.</w:t>
      </w:r>
    </w:p>
    <w:p w14:paraId="20C291B3" w14:textId="77777777" w:rsidR="009F5A85" w:rsidRPr="00D20518" w:rsidRDefault="00B21CF0" w:rsidP="00AF47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635C354D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Пациенты с печеночной недостаточностью</w:t>
      </w:r>
    </w:p>
    <w:p w14:paraId="6375AA6E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 xml:space="preserve">Суточная доза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20 мг (половина флакона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40 мг) не должна превышаться у пациентов с тяжелым нарушением функции печени (см. раздел 4.3).</w:t>
      </w:r>
    </w:p>
    <w:p w14:paraId="34182789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Пациенты с почечной недостаточностью</w:t>
      </w:r>
    </w:p>
    <w:p w14:paraId="1DB189FD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>Коррекция дозы у пациентов с нарушением функции почек не требуется.</w:t>
      </w:r>
    </w:p>
    <w:p w14:paraId="3F0772DF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Пациенты пожилого возраста</w:t>
      </w:r>
    </w:p>
    <w:p w14:paraId="1BCEA530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>Коррекция дозы у пациентов пожилого возраста не требуется.</w:t>
      </w:r>
    </w:p>
    <w:p w14:paraId="61A3E38C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Дети</w:t>
      </w:r>
    </w:p>
    <w:p w14:paraId="675D6C24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 xml:space="preserve">Опыт применения у детей ограничен. Поэтому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не рекомендуется назначать пациентам младше 18 лет до тех пор, пока не станут доступны дополнительные данные.</w:t>
      </w:r>
    </w:p>
    <w:bookmarkEnd w:id="9"/>
    <w:p w14:paraId="060A8BB4" w14:textId="77777777" w:rsidR="009F5A85" w:rsidRPr="00D20518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518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5D9E3E13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170899714"/>
      <w:r w:rsidRPr="00D20518">
        <w:rPr>
          <w:rFonts w:ascii="Times New Roman" w:hAnsi="Times New Roman"/>
          <w:sz w:val="24"/>
          <w:szCs w:val="24"/>
        </w:rPr>
        <w:t xml:space="preserve">Готовый к применению раствор готовят </w:t>
      </w:r>
      <w:r w:rsidR="009C00B1">
        <w:rPr>
          <w:rFonts w:ascii="Times New Roman" w:hAnsi="Times New Roman"/>
          <w:sz w:val="24"/>
          <w:szCs w:val="24"/>
        </w:rPr>
        <w:t>с применением</w:t>
      </w:r>
      <w:r w:rsidRPr="00D20518">
        <w:rPr>
          <w:rFonts w:ascii="Times New Roman" w:hAnsi="Times New Roman"/>
          <w:sz w:val="24"/>
          <w:szCs w:val="24"/>
        </w:rPr>
        <w:t xml:space="preserve"> 10 мл раствора хлорида натрия 9 мг/мл (0,9 %) для инъекций. Инструкции по приготовлению см. в разделе 6.6. Приготовленный раствор можно вводить непосредственно или после смешивания со 100 мл раствора хлорида натрия 9 мг/мл (0,9 %) для инъекций или раствора глюкозы 50 мг/мл (5 %) для инъекций.</w:t>
      </w:r>
    </w:p>
    <w:p w14:paraId="1AC035E6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t>Полученный раствор следует ввести в течение 12 часов (см. раздел 6.3).</w:t>
      </w:r>
    </w:p>
    <w:p w14:paraId="5AE0679C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t>Лекарственное средство следует вводить внутривенно в течение 2–15 минут.</w:t>
      </w:r>
    </w:p>
    <w:bookmarkEnd w:id="10"/>
    <w:p w14:paraId="6DF3A835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8DF9B" w14:textId="77777777" w:rsidR="007D0E84" w:rsidRPr="00D20518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18F71BF2" w14:textId="77777777" w:rsidR="00A300B9" w:rsidRPr="00D20518" w:rsidRDefault="005D66F3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1" w:name="_Hlk170899494"/>
      <w:r w:rsidRPr="00D20518">
        <w:rPr>
          <w:rFonts w:ascii="Times New Roman" w:hAnsi="Times New Roman"/>
          <w:sz w:val="24"/>
          <w:szCs w:val="24"/>
        </w:rPr>
        <w:t>- г</w:t>
      </w:r>
      <w:r w:rsidR="00A300B9" w:rsidRPr="00D20518">
        <w:rPr>
          <w:rFonts w:ascii="Times New Roman" w:hAnsi="Times New Roman"/>
          <w:sz w:val="24"/>
          <w:szCs w:val="24"/>
        </w:rPr>
        <w:t>иперчувствительность к действующему веществу (веществам) или к любому из вспомогательных веществ, перечисленных в разделе 6.1</w:t>
      </w:r>
      <w:r w:rsidR="00D724CC">
        <w:rPr>
          <w:rFonts w:ascii="Times New Roman" w:hAnsi="Times New Roman"/>
          <w:sz w:val="24"/>
          <w:szCs w:val="24"/>
        </w:rPr>
        <w:t>.</w:t>
      </w:r>
    </w:p>
    <w:bookmarkEnd w:id="11"/>
    <w:p w14:paraId="5AF7D633" w14:textId="77777777" w:rsidR="007D0E84" w:rsidRPr="00D20518" w:rsidRDefault="007D0E8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E140B6" w14:textId="77777777" w:rsidR="00B10089" w:rsidRPr="00D20518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D20518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0C7C6C53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12" w:name="_Hlk170899551"/>
      <w:r w:rsidRPr="00D20518">
        <w:rPr>
          <w:rFonts w:ascii="Times New Roman" w:hAnsi="Times New Roman"/>
          <w:i/>
          <w:sz w:val="24"/>
          <w:szCs w:val="24"/>
        </w:rPr>
        <w:t>Злокачественное новообразование желудка</w:t>
      </w:r>
    </w:p>
    <w:p w14:paraId="1C545657" w14:textId="77777777" w:rsidR="00AF47AA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 xml:space="preserve">Симптоматическая реакция на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может маскировать симптомы злокачественного новообразования желудка и задерживать диагностику. При наличии любого тревожного симптома (например, значительной непреднамеренной потери веса, периодической рвоты, дисфагии, рвоты с кровью, анемии или мелены) и при подозрении или наличии язвы желудка следует исключить злокачественное новообразование.</w:t>
      </w:r>
    </w:p>
    <w:p w14:paraId="6A810532" w14:textId="77777777" w:rsidR="000A15B0" w:rsidRPr="00D20518" w:rsidRDefault="00AF47AA" w:rsidP="00AF47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>Если симптомы сохраняются, несмотря на адекватное лечение, необходимо рассмотреть вопрос о дальнейшем обследовании.</w:t>
      </w:r>
    </w:p>
    <w:p w14:paraId="72B134D7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Печеночная недостаточность</w:t>
      </w:r>
    </w:p>
    <w:p w14:paraId="1345089B" w14:textId="77777777" w:rsidR="00AF47AA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>У пациентов с тяжелым нарушением функции печени во время терапии следует контролировать уровень печеночных ферментов. В случае повышения активности печеночных ферментов лечение следует прекратить (см. раздел 4.3).</w:t>
      </w:r>
    </w:p>
    <w:p w14:paraId="5A67D662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Совместное применение с ингибиторами протеазы ВИЧ</w:t>
      </w:r>
    </w:p>
    <w:p w14:paraId="5C9850A8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lastRenderedPageBreak/>
        <w:t xml:space="preserve">Не рекомендуется одновременное применение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с ингибиторами протеазы ВИЧ, абсорбция которых зависит от кислого внутрижелудочного рН, такими как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атазанавир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>, из-за значительного снижения их биодоступности (см. раздел 4.3).</w:t>
      </w:r>
    </w:p>
    <w:p w14:paraId="5A5B1BD0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Комбинированная терапия</w:t>
      </w:r>
    </w:p>
    <w:p w14:paraId="7446F225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>В случае комбинированной терапии следует учитывать краткие характеристики соответствующих лекарственных средств.</w:t>
      </w:r>
    </w:p>
    <w:p w14:paraId="60C471BF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Влияние на всасывание витамина B12</w:t>
      </w:r>
    </w:p>
    <w:p w14:paraId="6B4C9369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 xml:space="preserve">У пациентов с синдромом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Золлингера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-Эллисона и другими патологическими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гиперсекреторными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состояниями, требующими длительного лечения,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, как и все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кислотоблокирующие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средства, может снижать всасывание витамина В12 (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цианокобаламина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) вследствие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гипо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- или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ахлоргидрии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>. Это следует учитывать у пациентов с уменьшенными запасами витамина B12 в организме или факторами риска снижения абсорбции витамина B12 при длительной терапии или при наличии соответствующих клинических симптомов.</w:t>
      </w:r>
    </w:p>
    <w:p w14:paraId="73C019FA" w14:textId="77777777" w:rsidR="00C60095" w:rsidRPr="009C00B1" w:rsidRDefault="00C60095" w:rsidP="00C600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Желудочно-кишечные инфекции, вызванные бактериями</w:t>
      </w:r>
    </w:p>
    <w:p w14:paraId="2BB18F52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 xml:space="preserve">Можно ожидать, что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, как и все ингибиторы протонной помпы (ИПП), увеличит количество бактерий, обычно присутствующих в верхних отделах желудочно-кишечного тракта. Лечение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пантопразолом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может привести к несколько повышенному риску желудочно-кишечных инфекций, вызванных такими бактериями, как сальмонелла и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кампилобактерия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>.</w:t>
      </w:r>
    </w:p>
    <w:p w14:paraId="55D40E3C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Натрий</w:t>
      </w:r>
    </w:p>
    <w:p w14:paraId="4332FEA5" w14:textId="77777777" w:rsidR="00C60095" w:rsidRPr="00D20518" w:rsidRDefault="009C00B1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17FF8">
        <w:rPr>
          <w:rFonts w:ascii="Times New Roman" w:hAnsi="Times New Roman"/>
          <w:iCs/>
          <w:sz w:val="24"/>
          <w:szCs w:val="24"/>
        </w:rPr>
        <w:t>Данный</w:t>
      </w:r>
      <w:r w:rsidR="00C60095" w:rsidRPr="00117FF8">
        <w:rPr>
          <w:rFonts w:ascii="Times New Roman" w:hAnsi="Times New Roman"/>
          <w:iCs/>
          <w:sz w:val="24"/>
          <w:szCs w:val="24"/>
        </w:rPr>
        <w:t xml:space="preserve"> лекарственный препарат содержит менее 1 ммоль натрия на флакон, то есть практически не содержит натрия.</w:t>
      </w:r>
    </w:p>
    <w:p w14:paraId="165FDA88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20518">
        <w:rPr>
          <w:rFonts w:ascii="Times New Roman" w:hAnsi="Times New Roman"/>
          <w:i/>
          <w:sz w:val="24"/>
          <w:szCs w:val="24"/>
        </w:rPr>
        <w:t>Гипомагниемия</w:t>
      </w:r>
      <w:proofErr w:type="spellEnd"/>
    </w:p>
    <w:p w14:paraId="764F5E08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 xml:space="preserve">Сообщалось о тяжелой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гипомагниемии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у пациентов, принимавших ИПП, такие как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, в течение как минимум трех месяцев, а в большинстве случаев - года. Могут возникнуть серьезные проявления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гипомагниемии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, такие как утомляемость, тетания, делирий, судороги, головокружение и желудочковая аритмия, но они могут начаться незаметно и остаться незамеченными. У большинства больных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гипомагниемия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улучшилась после замены магния и прекращения приема ИПП.</w:t>
      </w:r>
    </w:p>
    <w:p w14:paraId="5DD755CF" w14:textId="77777777" w:rsidR="00AF47AA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 xml:space="preserve">У пациентов, которые, как ожидается, будут находиться на длительном лечении или которые принимают ИПП с дигоксином или препараты, которые могут вызвать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гипомагниемию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(например, диуретики), медицинские работники должны рассмотреть возможность измерения уровня магния перед началом лечения ИПП и периодически во время лечения.</w:t>
      </w:r>
    </w:p>
    <w:p w14:paraId="2903DE9C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Переломы костей</w:t>
      </w:r>
    </w:p>
    <w:p w14:paraId="147FDC8B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>Ингибиторы протонной помпы, особенно при использовании в высоких дозах и в течение длительного времени (&gt;1 года), могут незначительно повышать риск переломов бедра, запястья и позвоночника, преимущественно у пожилых людей или при наличии других известных факторов риска. Наблюдательные исследования показывают, что ингибиторы протонной помпы могут увеличить общий риск переломов на 10–40%. Частично это увеличение может быть связано с другими факторами риска. Пациенты с риском развития остеопороза должны получать помощь в соответствии с действующими клиническими рекомендациями и получать достаточное количество витамина D и кальция.</w:t>
      </w:r>
    </w:p>
    <w:p w14:paraId="083C7A1F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Подострая кожная красная волчанка (ПККВ)</w:t>
      </w:r>
    </w:p>
    <w:p w14:paraId="13259E87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 xml:space="preserve">Ингибиторы протонной помпы связаны с очень редкими случаями ПККВ. При возникновении поражений, особенно на участках кожи, подверженных воздействию солнечных лучей, и сопровождающихся артралгией, пациенту следует немедленно обратиться за медицинской помощью, а медицинский работник должен рассмотреть вопрос об отмене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. ПККВ после предыдущего лечения ингибитором </w:t>
      </w:r>
      <w:r w:rsidRPr="00D20518">
        <w:rPr>
          <w:rFonts w:ascii="Times New Roman" w:hAnsi="Times New Roman"/>
          <w:iCs/>
          <w:sz w:val="24"/>
          <w:szCs w:val="24"/>
        </w:rPr>
        <w:lastRenderedPageBreak/>
        <w:t>протонной помпы может увеличить риск ПККВ при применении других ингибиторов протонной помпы.</w:t>
      </w:r>
    </w:p>
    <w:p w14:paraId="253F5B6A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0518">
        <w:rPr>
          <w:rFonts w:ascii="Times New Roman" w:hAnsi="Times New Roman"/>
          <w:i/>
          <w:sz w:val="24"/>
          <w:szCs w:val="24"/>
        </w:rPr>
        <w:t>Вмешательство в лабораторные анализы</w:t>
      </w:r>
    </w:p>
    <w:p w14:paraId="0AA2B818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0518">
        <w:rPr>
          <w:rFonts w:ascii="Times New Roman" w:hAnsi="Times New Roman"/>
          <w:iCs/>
          <w:sz w:val="24"/>
          <w:szCs w:val="24"/>
        </w:rPr>
        <w:t xml:space="preserve">Повышенный уровень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хромогранина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А (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CgA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) может мешать исследованиям нейроэндокринных опухолей. Чтобы избежать этого влияния, лечение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пантопразолом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следует прекратить как минимум за 5 дней до измерения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CgA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(см. раздел 5.1). Если уровни </w:t>
      </w:r>
      <w:proofErr w:type="spellStart"/>
      <w:r w:rsidRPr="00D20518">
        <w:rPr>
          <w:rFonts w:ascii="Times New Roman" w:hAnsi="Times New Roman"/>
          <w:iCs/>
          <w:sz w:val="24"/>
          <w:szCs w:val="24"/>
        </w:rPr>
        <w:t>CgA</w:t>
      </w:r>
      <w:proofErr w:type="spellEnd"/>
      <w:r w:rsidRPr="00D20518">
        <w:rPr>
          <w:rFonts w:ascii="Times New Roman" w:hAnsi="Times New Roman"/>
          <w:iCs/>
          <w:sz w:val="24"/>
          <w:szCs w:val="24"/>
        </w:rPr>
        <w:t xml:space="preserve"> и гастрина не вернулись к нормальным значениям после первоначального измерения, измерения следует повторить через 14 дней после прекращения лечения ингибиторами протонной помпы.</w:t>
      </w:r>
    </w:p>
    <w:bookmarkEnd w:id="12"/>
    <w:p w14:paraId="1F7D283E" w14:textId="77777777" w:rsidR="00AF47AA" w:rsidRPr="00D20518" w:rsidRDefault="00AF47AA" w:rsidP="0078568D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1F7D9CDB" w14:textId="77777777" w:rsidR="007D0E84" w:rsidRPr="00D20518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30F7383B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13" w:name="_Hlk170899519"/>
      <w:r w:rsidRPr="00D20518">
        <w:rPr>
          <w:rFonts w:ascii="Times New Roman" w:hAnsi="Times New Roman"/>
          <w:i/>
          <w:iCs/>
          <w:color w:val="000000"/>
          <w:sz w:val="24"/>
          <w:szCs w:val="24"/>
        </w:rPr>
        <w:t xml:space="preserve">Лекарственные средства с фармакокинетикой абсорбции, зависящей от </w:t>
      </w:r>
      <w:proofErr w:type="spellStart"/>
      <w:r w:rsidRPr="00D20518">
        <w:rPr>
          <w:rFonts w:ascii="Times New Roman" w:hAnsi="Times New Roman"/>
          <w:i/>
          <w:iCs/>
          <w:color w:val="000000"/>
          <w:sz w:val="24"/>
          <w:szCs w:val="24"/>
        </w:rPr>
        <w:t>pH</w:t>
      </w:r>
      <w:proofErr w:type="spellEnd"/>
    </w:p>
    <w:p w14:paraId="1734EB87" w14:textId="77777777" w:rsidR="00CE7F7F" w:rsidRPr="00D20518" w:rsidRDefault="00C60095" w:rsidP="00C600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 xml:space="preserve">Из-за глубокого и длительного ингибирования секреции желудочной кислоты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может снижать всасывание других лекарственных средств, для которых рН желудка является важным фактором, определяющим биодоступность при пероральном приеме, например, некоторых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азольных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противогрибковых средств, таких как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кетоконазол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итраконазол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позаконазол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и других лекарств, таких как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эрлотиниб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>.</w:t>
      </w:r>
    </w:p>
    <w:p w14:paraId="643C6771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0518">
        <w:rPr>
          <w:rFonts w:ascii="Times New Roman" w:hAnsi="Times New Roman"/>
          <w:i/>
          <w:iCs/>
          <w:color w:val="000000"/>
          <w:sz w:val="24"/>
          <w:szCs w:val="24"/>
        </w:rPr>
        <w:t>Ингибиторы протеазы ВИЧ</w:t>
      </w:r>
    </w:p>
    <w:p w14:paraId="7C594C3D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 xml:space="preserve">Не рекомендуется одновременное применение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с ингибиторами протеазы ВИЧ, абсорбция которых зависит от кислого внутрижелудочного рН, такими как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атазанавир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>, из-за значительного снижения их биодоступности (см. раздел 4.3).</w:t>
      </w:r>
    </w:p>
    <w:p w14:paraId="08CEB979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 xml:space="preserve">Если комбинация ингибиторов протеазы ВИЧ с ингибитором протонной помпы признана неизбежной, рекомендуется тщательный клинический мониторинг (например, определение вирусной нагрузки). Не следует превышать дозу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20 мг в сутки. Возможно, потребуется корректировка дозы ингибитора протеазы ВИЧ.</w:t>
      </w:r>
    </w:p>
    <w:p w14:paraId="7DAE0D6D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D20518">
        <w:rPr>
          <w:rFonts w:ascii="Times New Roman" w:hAnsi="Times New Roman"/>
          <w:i/>
          <w:iCs/>
          <w:color w:val="000000"/>
          <w:sz w:val="24"/>
          <w:szCs w:val="24"/>
        </w:rPr>
        <w:t>Кумариновые</w:t>
      </w:r>
      <w:proofErr w:type="spellEnd"/>
      <w:r w:rsidRPr="00D20518">
        <w:rPr>
          <w:rFonts w:ascii="Times New Roman" w:hAnsi="Times New Roman"/>
          <w:i/>
          <w:iCs/>
          <w:color w:val="000000"/>
          <w:sz w:val="24"/>
          <w:szCs w:val="24"/>
        </w:rPr>
        <w:t xml:space="preserve"> антикоагулянты (</w:t>
      </w:r>
      <w:proofErr w:type="spellStart"/>
      <w:r w:rsidRPr="00D20518">
        <w:rPr>
          <w:rFonts w:ascii="Times New Roman" w:hAnsi="Times New Roman"/>
          <w:i/>
          <w:iCs/>
          <w:color w:val="000000"/>
          <w:sz w:val="24"/>
          <w:szCs w:val="24"/>
        </w:rPr>
        <w:t>фенпрокумон</w:t>
      </w:r>
      <w:proofErr w:type="spellEnd"/>
      <w:r w:rsidRPr="00D20518">
        <w:rPr>
          <w:rFonts w:ascii="Times New Roman" w:hAnsi="Times New Roman"/>
          <w:i/>
          <w:iCs/>
          <w:color w:val="000000"/>
          <w:sz w:val="24"/>
          <w:szCs w:val="24"/>
        </w:rPr>
        <w:t xml:space="preserve"> или варфарин)</w:t>
      </w:r>
    </w:p>
    <w:p w14:paraId="194610D3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 xml:space="preserve">Совместное применение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с варфарином или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фенпрокумоном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не влияло на фармакокинетику варфарина,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фенопрокумона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или МНО. Однако были сообщения об увеличении МНО и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протромбинового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времени у пациентов, одновременно получавших ИПП и варфарин или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фенопрокумон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. Увеличение МНО и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протромбинового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времени может привести к аномальному кровотечению и даже смерти. У пациентов, получающих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и варфарин или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фенпрокумон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, может потребоваться наблюдение на предмет увеличения МНО и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протромбинового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времени.</w:t>
      </w:r>
    </w:p>
    <w:p w14:paraId="30003CCE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0518">
        <w:rPr>
          <w:rFonts w:ascii="Times New Roman" w:hAnsi="Times New Roman"/>
          <w:i/>
          <w:iCs/>
          <w:color w:val="000000"/>
          <w:sz w:val="24"/>
          <w:szCs w:val="24"/>
        </w:rPr>
        <w:t>Метотрексат</w:t>
      </w:r>
    </w:p>
    <w:p w14:paraId="14296FA0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 xml:space="preserve">Сообщалось, что одновременное применение высоких доз метотрексата (например, 300 мг) и ингибиторов протонной помпы приводит к повышению уровня метотрексата у некоторых пациентов. Поэтому в условиях, когда используются высокие дозы метотрексата, например, при раке и псориазе, может потребоваться временная отмена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>.</w:t>
      </w:r>
    </w:p>
    <w:p w14:paraId="14ABF6DD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0518">
        <w:rPr>
          <w:rFonts w:ascii="Times New Roman" w:hAnsi="Times New Roman"/>
          <w:i/>
          <w:iCs/>
          <w:color w:val="000000"/>
          <w:sz w:val="24"/>
          <w:szCs w:val="24"/>
        </w:rPr>
        <w:t>Другие исследования взаимодействия</w:t>
      </w:r>
    </w:p>
    <w:p w14:paraId="242A366E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интенсивно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метаболизируется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в печени посредством ферментной системы цитохрома Р450. Основным метаболическим путем является деметилирование с помощью CYP2C19, а другие метаболические пути включают окисление с помощью CYP3A4.</w:t>
      </w:r>
    </w:p>
    <w:p w14:paraId="0276F201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 xml:space="preserve">Исследования взаимодействия с лекарственными средствами, также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метаболизирующимися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этими путями, такими как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карбамазепин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, диазепам,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глибенкламид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нифедипин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и пероральные контрацептивы, содержащие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левоноргестрел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и этинилэстрадиол, не выявили клинически значимых взаимодействий.</w:t>
      </w:r>
    </w:p>
    <w:p w14:paraId="282ED440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 xml:space="preserve">Результаты ряда исследований взаимодействия показывают, что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не влияет на метаболизм активных веществ,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метаболизируемых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CYP1A2 (таких как кофеин, теофиллин), CYP2C9 (таких как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пироксикам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, диклофенак,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напроксен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), CYP2D6 (таких </w:t>
      </w:r>
      <w:r w:rsidRPr="00D20518">
        <w:rPr>
          <w:rFonts w:ascii="Times New Roman" w:hAnsi="Times New Roman"/>
          <w:color w:val="000000"/>
          <w:sz w:val="24"/>
          <w:szCs w:val="24"/>
        </w:rPr>
        <w:lastRenderedPageBreak/>
        <w:t xml:space="preserve">как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метопролол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>), CYP2E1 (таких как как этанол) или не влияет на абсорбцию дигоксина, связанную с p-гликопротеином.</w:t>
      </w:r>
    </w:p>
    <w:p w14:paraId="27916476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>Взаимодействия с одновременно назначаемыми антацидами не наблюдалось.</w:t>
      </w:r>
    </w:p>
    <w:p w14:paraId="0FC7B8BE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 xml:space="preserve">Также проводились исследования взаимодействия при одновременном применении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с соответствующими антибиотиками (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кларитромицином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метронидазолом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>, амоксициллином). Клинически значимых взаимодействий обнаружено не было.</w:t>
      </w:r>
    </w:p>
    <w:p w14:paraId="7C071B80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0518">
        <w:rPr>
          <w:rFonts w:ascii="Times New Roman" w:hAnsi="Times New Roman"/>
          <w:i/>
          <w:iCs/>
          <w:color w:val="000000"/>
          <w:sz w:val="24"/>
          <w:szCs w:val="24"/>
        </w:rPr>
        <w:t>Лекарственные средства, ингибирующие или индуцирующие CYP2C19</w:t>
      </w:r>
    </w:p>
    <w:p w14:paraId="37B6EC78" w14:textId="77777777" w:rsidR="00DC2984" w:rsidRPr="00D20518" w:rsidRDefault="00DC2984" w:rsidP="00DC29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 xml:space="preserve">Ингибиторы CYP2C19, такие как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флувоксамин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, могут увеличивать системное воздействие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. Снижение дозы может быть рассмотрено у пациентов, длительно получающих высокие дозы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>, или у пациентов с печеночной недостаточностью.</w:t>
      </w:r>
    </w:p>
    <w:p w14:paraId="7F9A91E1" w14:textId="77777777" w:rsidR="001B4586" w:rsidRPr="00D20518" w:rsidRDefault="00DC2984" w:rsidP="00C600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hAnsi="Times New Roman"/>
          <w:color w:val="000000"/>
          <w:sz w:val="24"/>
          <w:szCs w:val="24"/>
        </w:rPr>
        <w:t xml:space="preserve">Индукторы ферментов, влияющие на CYP2C19 и CYP3A4, такие как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рифампицин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и зверобой продырявленный (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Hypericum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perforatum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), могут снижать концентрации ИПП в плазме, которые </w:t>
      </w:r>
      <w:proofErr w:type="spellStart"/>
      <w:r w:rsidRPr="00D20518">
        <w:rPr>
          <w:rFonts w:ascii="Times New Roman" w:hAnsi="Times New Roman"/>
          <w:color w:val="000000"/>
          <w:sz w:val="24"/>
          <w:szCs w:val="24"/>
        </w:rPr>
        <w:t>метаболизируются</w:t>
      </w:r>
      <w:proofErr w:type="spellEnd"/>
      <w:r w:rsidRPr="00D20518">
        <w:rPr>
          <w:rFonts w:ascii="Times New Roman" w:hAnsi="Times New Roman"/>
          <w:color w:val="000000"/>
          <w:sz w:val="24"/>
          <w:szCs w:val="24"/>
        </w:rPr>
        <w:t xml:space="preserve"> посредством этих ферментных систем.</w:t>
      </w:r>
    </w:p>
    <w:bookmarkEnd w:id="13"/>
    <w:p w14:paraId="67DB6038" w14:textId="77777777" w:rsidR="00C60095" w:rsidRPr="00D20518" w:rsidRDefault="00C60095" w:rsidP="00C600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072B5E" w14:textId="77777777" w:rsidR="00B05BD1" w:rsidRPr="00D20518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</w:p>
    <w:p w14:paraId="3C17ABFC" w14:textId="77777777" w:rsidR="00B05BD1" w:rsidRPr="00D20518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20518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732DBF88" w14:textId="77777777" w:rsidR="001B4586" w:rsidRPr="00D20518" w:rsidRDefault="001B4586" w:rsidP="001B458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14" w:name="_Hlk170899589"/>
      <w:r w:rsidRPr="00D20518">
        <w:rPr>
          <w:rFonts w:ascii="Times New Roman" w:hAnsi="Times New Roman"/>
          <w:iCs/>
          <w:color w:val="000000"/>
          <w:sz w:val="24"/>
          <w:szCs w:val="24"/>
        </w:rPr>
        <w:t xml:space="preserve">Умеренное количество данных о беременных женщинах (от 300 до 1000 исходов беременности) указывает на отсутствие пороков развития или </w:t>
      </w:r>
      <w:proofErr w:type="spellStart"/>
      <w:r w:rsidRPr="00D20518">
        <w:rPr>
          <w:rFonts w:ascii="Times New Roman" w:hAnsi="Times New Roman"/>
          <w:iCs/>
          <w:color w:val="000000"/>
          <w:sz w:val="24"/>
          <w:szCs w:val="24"/>
        </w:rPr>
        <w:t>фето</w:t>
      </w:r>
      <w:proofErr w:type="spellEnd"/>
      <w:r w:rsidRPr="00D20518">
        <w:rPr>
          <w:rFonts w:ascii="Times New Roman" w:hAnsi="Times New Roman"/>
          <w:iCs/>
          <w:color w:val="000000"/>
          <w:sz w:val="24"/>
          <w:szCs w:val="24"/>
        </w:rPr>
        <w:t xml:space="preserve">/неонатальной токсичности </w:t>
      </w:r>
      <w:proofErr w:type="spellStart"/>
      <w:r w:rsidRPr="00D20518">
        <w:rPr>
          <w:rFonts w:ascii="Times New Roman" w:hAnsi="Times New Roman"/>
          <w:iCs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iCs/>
          <w:color w:val="000000"/>
          <w:sz w:val="24"/>
          <w:szCs w:val="24"/>
        </w:rPr>
        <w:t xml:space="preserve"> в дозе 40 мг в виде порошка для раствора для инъекций.</w:t>
      </w:r>
    </w:p>
    <w:p w14:paraId="3D19AE35" w14:textId="77777777" w:rsidR="001B4586" w:rsidRPr="00D20518" w:rsidRDefault="001B4586" w:rsidP="001B458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20518">
        <w:rPr>
          <w:rFonts w:ascii="Times New Roman" w:hAnsi="Times New Roman"/>
          <w:iCs/>
          <w:color w:val="000000"/>
          <w:sz w:val="24"/>
          <w:szCs w:val="24"/>
        </w:rPr>
        <w:t>Исследования на животных показали репродуктивную токсичность (см. раздел 5.3).</w:t>
      </w:r>
    </w:p>
    <w:p w14:paraId="1D3CED04" w14:textId="77777777" w:rsidR="001B4586" w:rsidRPr="00D20518" w:rsidRDefault="001B4586" w:rsidP="001B458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20518">
        <w:rPr>
          <w:rFonts w:ascii="Times New Roman" w:hAnsi="Times New Roman"/>
          <w:iCs/>
          <w:color w:val="000000"/>
          <w:sz w:val="24"/>
          <w:szCs w:val="24"/>
        </w:rPr>
        <w:t xml:space="preserve">В качестве меры предосторожности предпочтительно избегать применения </w:t>
      </w:r>
      <w:proofErr w:type="spellStart"/>
      <w:r w:rsidRPr="00D20518">
        <w:rPr>
          <w:rFonts w:ascii="Times New Roman" w:hAnsi="Times New Roman"/>
          <w:iCs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iCs/>
          <w:color w:val="000000"/>
          <w:sz w:val="24"/>
          <w:szCs w:val="24"/>
        </w:rPr>
        <w:t xml:space="preserve"> во время беременности.</w:t>
      </w:r>
    </w:p>
    <w:bookmarkEnd w:id="14"/>
    <w:p w14:paraId="455D6A0D" w14:textId="77777777" w:rsidR="00B05BD1" w:rsidRPr="00D20518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20518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2BBA4605" w14:textId="77777777" w:rsidR="001B4586" w:rsidRPr="00D20518" w:rsidRDefault="001B4586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15" w:name="_Hlk170899602"/>
      <w:r w:rsidRPr="00D20518">
        <w:rPr>
          <w:rFonts w:ascii="Times New Roman" w:hAnsi="Times New Roman"/>
          <w:iCs/>
          <w:color w:val="000000"/>
          <w:sz w:val="24"/>
          <w:szCs w:val="24"/>
        </w:rPr>
        <w:t xml:space="preserve">Исследования на животных показали выделение </w:t>
      </w:r>
      <w:proofErr w:type="spellStart"/>
      <w:r w:rsidRPr="00D20518">
        <w:rPr>
          <w:rFonts w:ascii="Times New Roman" w:hAnsi="Times New Roman"/>
          <w:iCs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iCs/>
          <w:color w:val="000000"/>
          <w:sz w:val="24"/>
          <w:szCs w:val="24"/>
        </w:rPr>
        <w:t xml:space="preserve"> с грудным молоком. Информации о выделении </w:t>
      </w:r>
      <w:proofErr w:type="spellStart"/>
      <w:r w:rsidRPr="00D20518">
        <w:rPr>
          <w:rFonts w:ascii="Times New Roman" w:hAnsi="Times New Roman"/>
          <w:iCs/>
          <w:color w:val="000000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iCs/>
          <w:color w:val="000000"/>
          <w:sz w:val="24"/>
          <w:szCs w:val="24"/>
        </w:rPr>
        <w:t xml:space="preserve"> в грудное молоко недостаточно, однако сообщалось об экскреции в грудное молоко. Нельзя исключить риск для новорожденных/младенцев. Поэтому решение о прекращении грудного вскармливания или прекращении/воздержании от терапии </w:t>
      </w:r>
      <w:proofErr w:type="spellStart"/>
      <w:r w:rsidRPr="00D20518">
        <w:rPr>
          <w:rFonts w:ascii="Times New Roman" w:hAnsi="Times New Roman"/>
          <w:iCs/>
          <w:color w:val="000000"/>
          <w:sz w:val="24"/>
          <w:szCs w:val="24"/>
        </w:rPr>
        <w:t>пантопразолом</w:t>
      </w:r>
      <w:proofErr w:type="spellEnd"/>
      <w:r w:rsidRPr="00D20518">
        <w:rPr>
          <w:rFonts w:ascii="Times New Roman" w:hAnsi="Times New Roman"/>
          <w:iCs/>
          <w:color w:val="000000"/>
          <w:sz w:val="24"/>
          <w:szCs w:val="24"/>
        </w:rPr>
        <w:t xml:space="preserve"> должно принимать во внимание пользу грудного вскармливания для ребенка и пользу терапии </w:t>
      </w:r>
      <w:proofErr w:type="spellStart"/>
      <w:r w:rsidRPr="00D20518">
        <w:rPr>
          <w:rFonts w:ascii="Times New Roman" w:hAnsi="Times New Roman"/>
          <w:iCs/>
          <w:color w:val="000000"/>
          <w:sz w:val="24"/>
          <w:szCs w:val="24"/>
        </w:rPr>
        <w:t>пантопразолом</w:t>
      </w:r>
      <w:proofErr w:type="spellEnd"/>
      <w:r w:rsidRPr="00D20518">
        <w:rPr>
          <w:rFonts w:ascii="Times New Roman" w:hAnsi="Times New Roman"/>
          <w:iCs/>
          <w:color w:val="000000"/>
          <w:sz w:val="24"/>
          <w:szCs w:val="24"/>
        </w:rPr>
        <w:t xml:space="preserve"> для женщины.</w:t>
      </w:r>
    </w:p>
    <w:bookmarkEnd w:id="15"/>
    <w:p w14:paraId="241D0ABB" w14:textId="77777777" w:rsidR="00B05BD1" w:rsidRPr="00D20518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20518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09316468" w14:textId="77777777" w:rsidR="0078568D" w:rsidRPr="00D20518" w:rsidRDefault="001B4586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исследованиях на животных не было выявлено нарушений фертильности после применения </w:t>
      </w:r>
      <w:proofErr w:type="spellStart"/>
      <w:r w:rsidRPr="00D20518">
        <w:rPr>
          <w:rFonts w:ascii="Times New Roman" w:eastAsia="Times New Roman" w:hAnsi="Times New Roman"/>
          <w:bCs/>
          <w:sz w:val="24"/>
          <w:szCs w:val="24"/>
          <w:lang w:eastAsia="ru-RU"/>
        </w:rPr>
        <w:t>пантопразола</w:t>
      </w:r>
      <w:proofErr w:type="spellEnd"/>
      <w:r w:rsidRPr="00D205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(см. раздел 5.3).</w:t>
      </w:r>
    </w:p>
    <w:p w14:paraId="46E58D4C" w14:textId="77777777" w:rsidR="001B4586" w:rsidRPr="00D20518" w:rsidRDefault="001B4586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6A7A31" w14:textId="77777777" w:rsidR="00CE7F7F" w:rsidRPr="00D20518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D20518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6" w:name="2175220282"/>
    </w:p>
    <w:p w14:paraId="62DEA4FB" w14:textId="77777777" w:rsidR="002E04B7" w:rsidRPr="00D20518" w:rsidRDefault="001B4586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7" w:name="_Hlk170899610"/>
      <w:r w:rsidRPr="00D20518">
        <w:rPr>
          <w:rFonts w:ascii="Times New Roman" w:eastAsia="Times New Roman" w:hAnsi="Times New Roman"/>
          <w:sz w:val="24"/>
          <w:szCs w:val="24"/>
          <w:lang w:eastAsia="ru-RU"/>
        </w:rPr>
        <w:t>Могут возникнуть побочные реакции на препарат, такие как головокружение и нарушения зрения (см. раздел 4.3). В случае поражения пациентам не следует водить машину или работать с механизмами.</w:t>
      </w:r>
    </w:p>
    <w:bookmarkEnd w:id="17"/>
    <w:p w14:paraId="126C22B4" w14:textId="77777777" w:rsidR="001B4586" w:rsidRPr="00D20518" w:rsidRDefault="001B4586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7C0DFC" w14:textId="77777777" w:rsidR="009D67EC" w:rsidRPr="00D20518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6"/>
    </w:p>
    <w:p w14:paraId="0731580A" w14:textId="77777777" w:rsidR="001B4586" w:rsidRPr="00D20518" w:rsidRDefault="001B4586" w:rsidP="001B45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t>Можно ожидать, что примерно у 5% пациентов возникнут побочные реакции на лекарства (НЛР). Наиболее частым нежелательным явлением, о котором сообщается, является тромбофлебит в месте инъекции. Диарея и головная боль возникали примерно у 1% пациентов.</w:t>
      </w:r>
    </w:p>
    <w:p w14:paraId="0B0B22CC" w14:textId="77777777" w:rsidR="001B4586" w:rsidRPr="00D20518" w:rsidRDefault="001B4586" w:rsidP="001B45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t xml:space="preserve">В таблице ниже перечислены побочные реакции, зарегистрированные при применении </w:t>
      </w:r>
      <w:proofErr w:type="spellStart"/>
      <w:r w:rsidRPr="00D20518">
        <w:rPr>
          <w:rFonts w:ascii="Times New Roman" w:hAnsi="Times New Roman"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sz w:val="24"/>
          <w:szCs w:val="24"/>
        </w:rPr>
        <w:t>, распределенные по следующей классификации частоты:</w:t>
      </w:r>
    </w:p>
    <w:p w14:paraId="45429133" w14:textId="77777777" w:rsidR="001B4586" w:rsidRPr="00D20518" w:rsidRDefault="001B4586" w:rsidP="001B45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t>Очень часто (≥ 1/10); часто (от ≥ 1/100 до &lt;1/10); нечасто (от ≥ 1/1000 до &lt;1/100); редко (от ≥ 1/10 000 до &lt;1/1 000); очень редко (&lt;1/10 000), неизвестно (невозможно оценить на основании имеющихся данных).</w:t>
      </w:r>
    </w:p>
    <w:p w14:paraId="25C927FF" w14:textId="77777777" w:rsidR="001B4586" w:rsidRPr="00D20518" w:rsidRDefault="001B4586" w:rsidP="001B45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lastRenderedPageBreak/>
        <w:t>Для всех побочных реакций, о которых сообщалось в пострегистрационном периоде, невозможно установить частоту каких-либо побочных реакций, поэтому они упоминаются с пометкой «неизвестная» частота.</w:t>
      </w:r>
    </w:p>
    <w:p w14:paraId="31102CA4" w14:textId="77777777" w:rsidR="001B4586" w:rsidRPr="00D20518" w:rsidRDefault="001B4586" w:rsidP="001B45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t>В каждой частотной группе побочные реакции представлены в порядке убывания серьезности.</w:t>
      </w:r>
    </w:p>
    <w:p w14:paraId="548D6299" w14:textId="77777777" w:rsidR="004528E1" w:rsidRPr="00D20518" w:rsidRDefault="001B4586" w:rsidP="001B45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0518">
        <w:rPr>
          <w:rFonts w:ascii="Times New Roman" w:hAnsi="Times New Roman"/>
          <w:b/>
          <w:bCs/>
          <w:sz w:val="24"/>
          <w:szCs w:val="24"/>
        </w:rPr>
        <w:t xml:space="preserve">Таблица 1. Побочные реакции </w:t>
      </w:r>
      <w:proofErr w:type="spellStart"/>
      <w:r w:rsidRPr="00D20518">
        <w:rPr>
          <w:rFonts w:ascii="Times New Roman" w:hAnsi="Times New Roman"/>
          <w:b/>
          <w:bCs/>
          <w:sz w:val="24"/>
          <w:szCs w:val="24"/>
        </w:rPr>
        <w:t>пантопразола</w:t>
      </w:r>
      <w:proofErr w:type="spellEnd"/>
      <w:r w:rsidRPr="00D20518">
        <w:rPr>
          <w:rFonts w:ascii="Times New Roman" w:hAnsi="Times New Roman"/>
          <w:b/>
          <w:bCs/>
          <w:sz w:val="24"/>
          <w:szCs w:val="24"/>
        </w:rPr>
        <w:t xml:space="preserve"> в клинических исследованиях и </w:t>
      </w:r>
      <w:proofErr w:type="spellStart"/>
      <w:r w:rsidRPr="00D20518">
        <w:rPr>
          <w:rFonts w:ascii="Times New Roman" w:hAnsi="Times New Roman"/>
          <w:b/>
          <w:bCs/>
          <w:sz w:val="24"/>
          <w:szCs w:val="24"/>
        </w:rPr>
        <w:t>постмаркетинговом</w:t>
      </w:r>
      <w:proofErr w:type="spellEnd"/>
      <w:r w:rsidRPr="00D20518">
        <w:rPr>
          <w:rFonts w:ascii="Times New Roman" w:hAnsi="Times New Roman"/>
          <w:b/>
          <w:bCs/>
          <w:sz w:val="24"/>
          <w:szCs w:val="24"/>
        </w:rPr>
        <w:t xml:space="preserve"> опыте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475"/>
        <w:gridCol w:w="1911"/>
        <w:gridCol w:w="1631"/>
        <w:gridCol w:w="1336"/>
        <w:gridCol w:w="1659"/>
      </w:tblGrid>
      <w:tr w:rsidR="00D20518" w:rsidRPr="00752A69" w14:paraId="16FF602F" w14:textId="77777777" w:rsidTr="00752A69">
        <w:tc>
          <w:tcPr>
            <w:tcW w:w="1275" w:type="dxa"/>
            <w:shd w:val="clear" w:color="auto" w:fill="auto"/>
          </w:tcPr>
          <w:p w14:paraId="4F0C6B50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A69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2A7DACD6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A69">
              <w:rPr>
                <w:rFonts w:ascii="Times New Roman" w:hAnsi="Times New Roman"/>
                <w:b/>
                <w:bCs/>
                <w:sz w:val="24"/>
                <w:szCs w:val="24"/>
              </w:rPr>
              <w:t>Часто</w:t>
            </w:r>
          </w:p>
        </w:tc>
        <w:tc>
          <w:tcPr>
            <w:tcW w:w="1911" w:type="dxa"/>
            <w:vMerge w:val="restart"/>
            <w:shd w:val="clear" w:color="auto" w:fill="auto"/>
          </w:tcPr>
          <w:p w14:paraId="325C603D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A69">
              <w:rPr>
                <w:rFonts w:ascii="Times New Roman" w:hAnsi="Times New Roman"/>
                <w:b/>
                <w:bCs/>
                <w:sz w:val="24"/>
                <w:szCs w:val="24"/>
              </w:rPr>
              <w:t>Нечасто</w:t>
            </w:r>
          </w:p>
        </w:tc>
        <w:tc>
          <w:tcPr>
            <w:tcW w:w="1631" w:type="dxa"/>
            <w:vMerge w:val="restart"/>
            <w:shd w:val="clear" w:color="auto" w:fill="auto"/>
          </w:tcPr>
          <w:p w14:paraId="1CE4DD7A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A69">
              <w:rPr>
                <w:rFonts w:ascii="Times New Roman" w:hAnsi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336" w:type="dxa"/>
            <w:vMerge w:val="restart"/>
            <w:shd w:val="clear" w:color="auto" w:fill="auto"/>
          </w:tcPr>
          <w:p w14:paraId="13115895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A69">
              <w:rPr>
                <w:rFonts w:ascii="Times New Roman" w:hAnsi="Times New Roman"/>
                <w:b/>
                <w:bCs/>
                <w:sz w:val="24"/>
                <w:szCs w:val="24"/>
              </w:rPr>
              <w:t>Очень редко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1B7FF5A4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A69">
              <w:rPr>
                <w:rFonts w:ascii="Times New Roman" w:hAnsi="Times New Roman"/>
                <w:b/>
                <w:bCs/>
                <w:sz w:val="24"/>
                <w:szCs w:val="24"/>
              </w:rPr>
              <w:t>Неизвестно</w:t>
            </w:r>
          </w:p>
        </w:tc>
      </w:tr>
      <w:tr w:rsidR="00D20518" w:rsidRPr="00752A69" w14:paraId="211B53B0" w14:textId="77777777" w:rsidTr="00752A69">
        <w:tc>
          <w:tcPr>
            <w:tcW w:w="1275" w:type="dxa"/>
            <w:shd w:val="clear" w:color="auto" w:fill="auto"/>
          </w:tcPr>
          <w:p w14:paraId="5E19A91D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A69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Системно-органный класс</w:t>
            </w:r>
          </w:p>
        </w:tc>
        <w:tc>
          <w:tcPr>
            <w:tcW w:w="1475" w:type="dxa"/>
            <w:vMerge/>
            <w:shd w:val="clear" w:color="auto" w:fill="auto"/>
          </w:tcPr>
          <w:p w14:paraId="1979A6AA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</w:tcPr>
          <w:p w14:paraId="6AFB7529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14:paraId="4BCAA8F2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38C019EA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3CAF0338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20518" w:rsidRPr="00752A69" w14:paraId="300492B1" w14:textId="77777777" w:rsidTr="00752A69">
        <w:tc>
          <w:tcPr>
            <w:tcW w:w="1275" w:type="dxa"/>
            <w:shd w:val="clear" w:color="auto" w:fill="auto"/>
          </w:tcPr>
          <w:p w14:paraId="30664055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Заболевания крови и лимфатической системы</w:t>
            </w:r>
          </w:p>
        </w:tc>
        <w:tc>
          <w:tcPr>
            <w:tcW w:w="1475" w:type="dxa"/>
            <w:shd w:val="clear" w:color="auto" w:fill="auto"/>
          </w:tcPr>
          <w:p w14:paraId="5DBEDBF6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7E095976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47B9EFB0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" w:name="_Hlk170900063"/>
            <w:r w:rsidRPr="00752A69">
              <w:rPr>
                <w:rFonts w:ascii="Times New Roman" w:hAnsi="Times New Roman"/>
                <w:sz w:val="24"/>
                <w:szCs w:val="24"/>
              </w:rPr>
              <w:t>Агранулоцитоз</w:t>
            </w:r>
            <w:bookmarkEnd w:id="18"/>
          </w:p>
        </w:tc>
        <w:tc>
          <w:tcPr>
            <w:tcW w:w="1336" w:type="dxa"/>
            <w:shd w:val="clear" w:color="auto" w:fill="auto"/>
          </w:tcPr>
          <w:p w14:paraId="432D1B76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" w:name="_Hlk170900176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Тромбоцитопения; Лейкопения; </w:t>
            </w:r>
            <w:proofErr w:type="spellStart"/>
            <w:r w:rsidRPr="00752A69">
              <w:rPr>
                <w:rFonts w:ascii="Times New Roman" w:hAnsi="Times New Roman"/>
                <w:sz w:val="24"/>
                <w:szCs w:val="24"/>
              </w:rPr>
              <w:t>Панцитопения</w:t>
            </w:r>
            <w:bookmarkEnd w:id="19"/>
            <w:proofErr w:type="spellEnd"/>
          </w:p>
        </w:tc>
        <w:tc>
          <w:tcPr>
            <w:tcW w:w="1659" w:type="dxa"/>
            <w:shd w:val="clear" w:color="auto" w:fill="auto"/>
          </w:tcPr>
          <w:p w14:paraId="3483669E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518" w:rsidRPr="00752A69" w14:paraId="1FC9471A" w14:textId="77777777" w:rsidTr="00752A69">
        <w:tc>
          <w:tcPr>
            <w:tcW w:w="1275" w:type="dxa"/>
            <w:shd w:val="clear" w:color="auto" w:fill="auto"/>
          </w:tcPr>
          <w:p w14:paraId="3A7C5B3B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Нарушения иммунной системы</w:t>
            </w:r>
          </w:p>
        </w:tc>
        <w:tc>
          <w:tcPr>
            <w:tcW w:w="1475" w:type="dxa"/>
            <w:shd w:val="clear" w:color="auto" w:fill="auto"/>
          </w:tcPr>
          <w:p w14:paraId="4FC4B27C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480026E6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48E115F4" w14:textId="77777777" w:rsidR="001B4586" w:rsidRPr="00117FF8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" w:name="_Hlk170900070"/>
            <w:r w:rsidRPr="00752A69">
              <w:rPr>
                <w:rFonts w:ascii="Times New Roman" w:hAnsi="Times New Roman"/>
                <w:sz w:val="24"/>
                <w:szCs w:val="24"/>
              </w:rPr>
              <w:t>Гиперчувствительность (включая анафилактические реакции и анафилактический шок)</w:t>
            </w:r>
            <w:bookmarkEnd w:id="20"/>
          </w:p>
        </w:tc>
        <w:tc>
          <w:tcPr>
            <w:tcW w:w="1336" w:type="dxa"/>
            <w:shd w:val="clear" w:color="auto" w:fill="auto"/>
          </w:tcPr>
          <w:p w14:paraId="7E1407A8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6176A5F3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518" w:rsidRPr="00752A69" w14:paraId="24383BFA" w14:textId="77777777" w:rsidTr="00752A69">
        <w:tc>
          <w:tcPr>
            <w:tcW w:w="1275" w:type="dxa"/>
            <w:shd w:val="clear" w:color="auto" w:fill="auto"/>
          </w:tcPr>
          <w:p w14:paraId="07B97289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Нарушения обмена веществ и питания</w:t>
            </w:r>
          </w:p>
        </w:tc>
        <w:tc>
          <w:tcPr>
            <w:tcW w:w="1475" w:type="dxa"/>
            <w:shd w:val="clear" w:color="auto" w:fill="auto"/>
          </w:tcPr>
          <w:p w14:paraId="706BAD2F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6DDFE5D9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4181A6C0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" w:name="_Hlk170900078"/>
            <w:r w:rsidRPr="00752A69">
              <w:rPr>
                <w:rFonts w:ascii="Times New Roman" w:hAnsi="Times New Roman"/>
                <w:sz w:val="24"/>
                <w:szCs w:val="24"/>
              </w:rPr>
              <w:t>Гиперлипидемия и повышение уровня липидов (триглицеридов, холестерина); Изменения веса</w:t>
            </w:r>
            <w:bookmarkEnd w:id="21"/>
          </w:p>
        </w:tc>
        <w:tc>
          <w:tcPr>
            <w:tcW w:w="1336" w:type="dxa"/>
            <w:shd w:val="clear" w:color="auto" w:fill="auto"/>
          </w:tcPr>
          <w:p w14:paraId="25E6E367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25AE9D1E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" w:name="_Hlk170900214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Гипонатриемия; </w:t>
            </w:r>
            <w:proofErr w:type="spellStart"/>
            <w:r w:rsidRPr="00752A69">
              <w:rPr>
                <w:rFonts w:ascii="Times New Roman" w:hAnsi="Times New Roman"/>
                <w:sz w:val="24"/>
                <w:szCs w:val="24"/>
              </w:rPr>
              <w:t>Гипомагниемия</w:t>
            </w:r>
            <w:proofErr w:type="spellEnd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 (см. раздел 4.4); </w:t>
            </w:r>
            <w:proofErr w:type="spellStart"/>
            <w:r w:rsidRPr="00752A69">
              <w:rPr>
                <w:rFonts w:ascii="Times New Roman" w:hAnsi="Times New Roman"/>
                <w:sz w:val="24"/>
                <w:szCs w:val="24"/>
              </w:rPr>
              <w:t>Гипокальциемия</w:t>
            </w:r>
            <w:proofErr w:type="spellEnd"/>
            <w:r w:rsidRPr="00752A69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  <w:r w:rsidRPr="00752A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CE524E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A69">
              <w:rPr>
                <w:rFonts w:ascii="Times New Roman" w:hAnsi="Times New Roman"/>
                <w:sz w:val="24"/>
                <w:szCs w:val="24"/>
              </w:rPr>
              <w:t>Гипокалиемия</w:t>
            </w:r>
            <w:bookmarkEnd w:id="22"/>
            <w:proofErr w:type="spellEnd"/>
          </w:p>
        </w:tc>
      </w:tr>
      <w:tr w:rsidR="00D20518" w:rsidRPr="00752A69" w14:paraId="4B41C9EF" w14:textId="77777777" w:rsidTr="00752A69">
        <w:tc>
          <w:tcPr>
            <w:tcW w:w="1275" w:type="dxa"/>
            <w:shd w:val="clear" w:color="auto" w:fill="auto"/>
          </w:tcPr>
          <w:p w14:paraId="1C619DCB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Психические расстройства</w:t>
            </w:r>
          </w:p>
        </w:tc>
        <w:tc>
          <w:tcPr>
            <w:tcW w:w="1475" w:type="dxa"/>
            <w:shd w:val="clear" w:color="auto" w:fill="auto"/>
          </w:tcPr>
          <w:p w14:paraId="67EF4285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60D7D6FC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" w:name="_Hlk170899968"/>
            <w:r w:rsidRPr="00752A69">
              <w:rPr>
                <w:rFonts w:ascii="Times New Roman" w:hAnsi="Times New Roman"/>
                <w:sz w:val="24"/>
                <w:szCs w:val="24"/>
              </w:rPr>
              <w:t>Расстройство сна</w:t>
            </w:r>
            <w:bookmarkEnd w:id="23"/>
          </w:p>
        </w:tc>
        <w:tc>
          <w:tcPr>
            <w:tcW w:w="1631" w:type="dxa"/>
            <w:shd w:val="clear" w:color="auto" w:fill="auto"/>
          </w:tcPr>
          <w:p w14:paraId="535F6640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" w:name="_Hlk170900090"/>
            <w:r w:rsidRPr="00752A69">
              <w:rPr>
                <w:rFonts w:ascii="Times New Roman" w:hAnsi="Times New Roman"/>
                <w:sz w:val="24"/>
                <w:szCs w:val="24"/>
              </w:rPr>
              <w:t>Депрессия (и все обострения)</w:t>
            </w:r>
            <w:bookmarkEnd w:id="24"/>
          </w:p>
        </w:tc>
        <w:tc>
          <w:tcPr>
            <w:tcW w:w="1336" w:type="dxa"/>
            <w:shd w:val="clear" w:color="auto" w:fill="auto"/>
          </w:tcPr>
          <w:p w14:paraId="0DE283E3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" w:name="_Hlk170900190"/>
            <w:r w:rsidRPr="00752A69">
              <w:rPr>
                <w:rFonts w:ascii="Times New Roman" w:hAnsi="Times New Roman"/>
                <w:sz w:val="24"/>
                <w:szCs w:val="24"/>
              </w:rPr>
              <w:t>Дезориентация (и все ухудшения)</w:t>
            </w:r>
            <w:bookmarkEnd w:id="25"/>
          </w:p>
        </w:tc>
        <w:tc>
          <w:tcPr>
            <w:tcW w:w="1659" w:type="dxa"/>
            <w:shd w:val="clear" w:color="auto" w:fill="auto"/>
          </w:tcPr>
          <w:p w14:paraId="45EA5EC0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6" w:name="_Hlk170900243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Галлюцинация; Спутанность сознания (особенно у предрасположенных больных, а также усиление этих симптомов при </w:t>
            </w:r>
            <w:proofErr w:type="spellStart"/>
            <w:r w:rsidRPr="00752A69">
              <w:rPr>
                <w:rFonts w:ascii="Times New Roman" w:hAnsi="Times New Roman"/>
                <w:sz w:val="24"/>
                <w:szCs w:val="24"/>
              </w:rPr>
              <w:t>предсуществовании</w:t>
            </w:r>
            <w:proofErr w:type="spellEnd"/>
            <w:r w:rsidRPr="00752A69">
              <w:rPr>
                <w:rFonts w:ascii="Times New Roman" w:hAnsi="Times New Roman"/>
                <w:sz w:val="24"/>
                <w:szCs w:val="24"/>
              </w:rPr>
              <w:t>)</w:t>
            </w:r>
            <w:bookmarkEnd w:id="26"/>
          </w:p>
        </w:tc>
      </w:tr>
      <w:tr w:rsidR="00D20518" w:rsidRPr="00752A69" w14:paraId="4E5C2955" w14:textId="77777777" w:rsidTr="00752A69">
        <w:tc>
          <w:tcPr>
            <w:tcW w:w="1275" w:type="dxa"/>
            <w:shd w:val="clear" w:color="auto" w:fill="auto"/>
          </w:tcPr>
          <w:p w14:paraId="35ECBC07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Расстройс</w:t>
            </w:r>
            <w:r w:rsidRPr="00752A69">
              <w:rPr>
                <w:rFonts w:ascii="Times New Roman" w:hAnsi="Times New Roman"/>
                <w:sz w:val="24"/>
                <w:szCs w:val="24"/>
              </w:rPr>
              <w:lastRenderedPageBreak/>
              <w:t>тва нервной системы</w:t>
            </w:r>
          </w:p>
        </w:tc>
        <w:tc>
          <w:tcPr>
            <w:tcW w:w="1475" w:type="dxa"/>
            <w:shd w:val="clear" w:color="auto" w:fill="auto"/>
          </w:tcPr>
          <w:p w14:paraId="55F62917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5F933B4F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7" w:name="_Hlk170899976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Головная боль; </w:t>
            </w:r>
            <w:r w:rsidRPr="00752A69">
              <w:rPr>
                <w:rFonts w:ascii="Times New Roman" w:hAnsi="Times New Roman"/>
                <w:sz w:val="24"/>
                <w:szCs w:val="24"/>
              </w:rPr>
              <w:lastRenderedPageBreak/>
              <w:t>Головокружение</w:t>
            </w:r>
            <w:bookmarkEnd w:id="27"/>
          </w:p>
        </w:tc>
        <w:tc>
          <w:tcPr>
            <w:tcW w:w="1631" w:type="dxa"/>
            <w:shd w:val="clear" w:color="auto" w:fill="auto"/>
          </w:tcPr>
          <w:p w14:paraId="2E572B61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8" w:name="_Hlk170900097"/>
            <w:r w:rsidRPr="00752A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Расстройства </w:t>
            </w:r>
            <w:r w:rsidRPr="00752A69">
              <w:rPr>
                <w:rFonts w:ascii="Times New Roman" w:hAnsi="Times New Roman"/>
                <w:sz w:val="24"/>
                <w:szCs w:val="24"/>
              </w:rPr>
              <w:lastRenderedPageBreak/>
              <w:t>вкуса</w:t>
            </w:r>
            <w:bookmarkEnd w:id="28"/>
          </w:p>
        </w:tc>
        <w:tc>
          <w:tcPr>
            <w:tcW w:w="1336" w:type="dxa"/>
            <w:shd w:val="clear" w:color="auto" w:fill="auto"/>
          </w:tcPr>
          <w:p w14:paraId="6127EE5F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53F08CF3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9" w:name="_Hlk170900257"/>
            <w:r w:rsidRPr="00752A69">
              <w:rPr>
                <w:rFonts w:ascii="Times New Roman" w:hAnsi="Times New Roman"/>
                <w:sz w:val="24"/>
                <w:szCs w:val="24"/>
              </w:rPr>
              <w:t>Парестезия</w:t>
            </w:r>
            <w:bookmarkEnd w:id="29"/>
          </w:p>
        </w:tc>
      </w:tr>
      <w:tr w:rsidR="00D20518" w:rsidRPr="00752A69" w14:paraId="22F02769" w14:textId="77777777" w:rsidTr="00752A69">
        <w:tc>
          <w:tcPr>
            <w:tcW w:w="1275" w:type="dxa"/>
            <w:shd w:val="clear" w:color="auto" w:fill="auto"/>
          </w:tcPr>
          <w:p w14:paraId="40AA80AA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Заболевания глаз</w:t>
            </w:r>
          </w:p>
        </w:tc>
        <w:tc>
          <w:tcPr>
            <w:tcW w:w="1475" w:type="dxa"/>
            <w:shd w:val="clear" w:color="auto" w:fill="auto"/>
          </w:tcPr>
          <w:p w14:paraId="6816CAFA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4D75D520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3C7E1394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0" w:name="_Hlk170900105"/>
            <w:r w:rsidRPr="00752A69">
              <w:rPr>
                <w:rFonts w:ascii="Times New Roman" w:hAnsi="Times New Roman"/>
                <w:sz w:val="24"/>
                <w:szCs w:val="24"/>
              </w:rPr>
              <w:t>Нарушения зрения/затуманивание зрения</w:t>
            </w:r>
            <w:bookmarkEnd w:id="30"/>
          </w:p>
        </w:tc>
        <w:tc>
          <w:tcPr>
            <w:tcW w:w="1336" w:type="dxa"/>
            <w:shd w:val="clear" w:color="auto" w:fill="auto"/>
          </w:tcPr>
          <w:p w14:paraId="4BC1DE45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6778DE2C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518" w:rsidRPr="00752A69" w14:paraId="06D99618" w14:textId="77777777" w:rsidTr="00752A69">
        <w:tc>
          <w:tcPr>
            <w:tcW w:w="1275" w:type="dxa"/>
            <w:shd w:val="clear" w:color="auto" w:fill="auto"/>
          </w:tcPr>
          <w:p w14:paraId="7224B06C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Желудочно-кишечные расстройства</w:t>
            </w:r>
          </w:p>
        </w:tc>
        <w:tc>
          <w:tcPr>
            <w:tcW w:w="1475" w:type="dxa"/>
            <w:shd w:val="clear" w:color="auto" w:fill="auto"/>
          </w:tcPr>
          <w:p w14:paraId="049111CE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1" w:name="_Hlk170899948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Полипы </w:t>
            </w:r>
            <w:proofErr w:type="spellStart"/>
            <w:r w:rsidRPr="00752A69">
              <w:rPr>
                <w:rFonts w:ascii="Times New Roman" w:hAnsi="Times New Roman"/>
                <w:sz w:val="24"/>
                <w:szCs w:val="24"/>
              </w:rPr>
              <w:t>фундальных</w:t>
            </w:r>
            <w:proofErr w:type="spellEnd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 желез (доброкачественные)</w:t>
            </w:r>
            <w:bookmarkEnd w:id="31"/>
          </w:p>
        </w:tc>
        <w:tc>
          <w:tcPr>
            <w:tcW w:w="1911" w:type="dxa"/>
            <w:shd w:val="clear" w:color="auto" w:fill="auto"/>
          </w:tcPr>
          <w:p w14:paraId="4C64B4F9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2" w:name="_Hlk170899988"/>
            <w:r w:rsidRPr="00752A69">
              <w:rPr>
                <w:rFonts w:ascii="Times New Roman" w:hAnsi="Times New Roman"/>
                <w:sz w:val="24"/>
                <w:szCs w:val="24"/>
              </w:rPr>
              <w:t>Диарея; Тошнота/рвота; Вздутие и вздутие живота; Запор; Сухость во рту; Боль и дискомфорт в животе</w:t>
            </w:r>
            <w:bookmarkEnd w:id="32"/>
          </w:p>
        </w:tc>
        <w:tc>
          <w:tcPr>
            <w:tcW w:w="1631" w:type="dxa"/>
            <w:shd w:val="clear" w:color="auto" w:fill="auto"/>
          </w:tcPr>
          <w:p w14:paraId="4E7F8395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14:paraId="0CE7BDC7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1683C2F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3" w:name="_Hlk170900263"/>
            <w:r w:rsidRPr="00752A69">
              <w:rPr>
                <w:rFonts w:ascii="Times New Roman" w:hAnsi="Times New Roman"/>
                <w:sz w:val="24"/>
                <w:szCs w:val="24"/>
              </w:rPr>
              <w:t>Микроскопический колит</w:t>
            </w:r>
            <w:bookmarkEnd w:id="33"/>
          </w:p>
        </w:tc>
      </w:tr>
      <w:tr w:rsidR="00D20518" w:rsidRPr="00752A69" w14:paraId="0E781435" w14:textId="77777777" w:rsidTr="00752A69">
        <w:tc>
          <w:tcPr>
            <w:tcW w:w="1275" w:type="dxa"/>
            <w:shd w:val="clear" w:color="auto" w:fill="auto"/>
          </w:tcPr>
          <w:p w14:paraId="645FC0FA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Гепатобилиарные расстройства</w:t>
            </w:r>
          </w:p>
        </w:tc>
        <w:tc>
          <w:tcPr>
            <w:tcW w:w="1475" w:type="dxa"/>
            <w:shd w:val="clear" w:color="auto" w:fill="auto"/>
          </w:tcPr>
          <w:p w14:paraId="487B21BE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36CA5795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4" w:name="_Hlk170900020"/>
            <w:r w:rsidRPr="00752A69">
              <w:rPr>
                <w:rFonts w:ascii="Times New Roman" w:hAnsi="Times New Roman"/>
                <w:sz w:val="24"/>
                <w:szCs w:val="24"/>
              </w:rPr>
              <w:t>Повышены ферменты печени (трансаминазы, γ-GT)</w:t>
            </w:r>
            <w:bookmarkEnd w:id="34"/>
          </w:p>
        </w:tc>
        <w:tc>
          <w:tcPr>
            <w:tcW w:w="1631" w:type="dxa"/>
            <w:shd w:val="clear" w:color="auto" w:fill="auto"/>
          </w:tcPr>
          <w:p w14:paraId="0B8EB5A4" w14:textId="77777777" w:rsidR="001B4586" w:rsidRPr="00752A69" w:rsidRDefault="004467FA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5" w:name="_Hlk170900119"/>
            <w:r w:rsidRPr="00752A69">
              <w:rPr>
                <w:rFonts w:ascii="Times New Roman" w:hAnsi="Times New Roman"/>
                <w:sz w:val="24"/>
                <w:szCs w:val="24"/>
              </w:rPr>
              <w:t>Повышенный билирубин</w:t>
            </w:r>
            <w:bookmarkEnd w:id="35"/>
          </w:p>
        </w:tc>
        <w:tc>
          <w:tcPr>
            <w:tcW w:w="1336" w:type="dxa"/>
            <w:shd w:val="clear" w:color="auto" w:fill="auto"/>
          </w:tcPr>
          <w:p w14:paraId="7CDB0521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7960B7CC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6" w:name="_Hlk170900270"/>
            <w:r w:rsidRPr="00752A69">
              <w:rPr>
                <w:rFonts w:ascii="Times New Roman" w:hAnsi="Times New Roman"/>
                <w:sz w:val="24"/>
                <w:szCs w:val="24"/>
              </w:rPr>
              <w:t>Гепатоцеллюлярное повреждение; Желтуха; Гепатоцеллюлярная недостаточность</w:t>
            </w:r>
            <w:bookmarkEnd w:id="36"/>
          </w:p>
        </w:tc>
      </w:tr>
      <w:tr w:rsidR="00D20518" w:rsidRPr="00752A69" w14:paraId="05E82A41" w14:textId="77777777" w:rsidTr="00752A69">
        <w:tc>
          <w:tcPr>
            <w:tcW w:w="1275" w:type="dxa"/>
            <w:shd w:val="clear" w:color="auto" w:fill="auto"/>
          </w:tcPr>
          <w:p w14:paraId="2FABFBEA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Заболевания кожи и подкожной клетчатки</w:t>
            </w:r>
          </w:p>
        </w:tc>
        <w:tc>
          <w:tcPr>
            <w:tcW w:w="1475" w:type="dxa"/>
            <w:shd w:val="clear" w:color="auto" w:fill="auto"/>
          </w:tcPr>
          <w:p w14:paraId="73EBFE7F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3F8F3AB5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7" w:name="_Hlk170900030"/>
            <w:r w:rsidRPr="00752A69">
              <w:rPr>
                <w:rFonts w:ascii="Times New Roman" w:hAnsi="Times New Roman"/>
                <w:sz w:val="24"/>
                <w:szCs w:val="24"/>
              </w:rPr>
              <w:t>Сыпь/экзантема/высыпания; Зуд</w:t>
            </w:r>
            <w:bookmarkEnd w:id="37"/>
          </w:p>
        </w:tc>
        <w:tc>
          <w:tcPr>
            <w:tcW w:w="1631" w:type="dxa"/>
            <w:shd w:val="clear" w:color="auto" w:fill="auto"/>
          </w:tcPr>
          <w:p w14:paraId="74CC133C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8" w:name="_Hlk170900128"/>
            <w:r w:rsidRPr="00752A69">
              <w:rPr>
                <w:rFonts w:ascii="Times New Roman" w:hAnsi="Times New Roman"/>
                <w:sz w:val="24"/>
                <w:szCs w:val="24"/>
              </w:rPr>
              <w:t>Крапивница; отек Квинке</w:t>
            </w:r>
            <w:bookmarkEnd w:id="38"/>
          </w:p>
        </w:tc>
        <w:tc>
          <w:tcPr>
            <w:tcW w:w="1336" w:type="dxa"/>
            <w:shd w:val="clear" w:color="auto" w:fill="auto"/>
          </w:tcPr>
          <w:p w14:paraId="540ACAB3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D0F1011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9" w:name="_Hlk170900287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синдром </w:t>
            </w:r>
            <w:proofErr w:type="spellStart"/>
            <w:r w:rsidRPr="00752A69">
              <w:rPr>
                <w:rFonts w:ascii="Times New Roman" w:hAnsi="Times New Roman"/>
                <w:sz w:val="24"/>
                <w:szCs w:val="24"/>
              </w:rPr>
              <w:t>Стивенса</w:t>
            </w:r>
            <w:proofErr w:type="spellEnd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-Джонсона; синдром </w:t>
            </w:r>
            <w:proofErr w:type="spellStart"/>
            <w:r w:rsidRPr="00752A69">
              <w:rPr>
                <w:rFonts w:ascii="Times New Roman" w:hAnsi="Times New Roman"/>
                <w:sz w:val="24"/>
                <w:szCs w:val="24"/>
              </w:rPr>
              <w:t>Лайелла</w:t>
            </w:r>
            <w:proofErr w:type="spellEnd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752A69">
              <w:rPr>
                <w:rFonts w:ascii="Times New Roman" w:hAnsi="Times New Roman"/>
                <w:sz w:val="24"/>
                <w:szCs w:val="24"/>
              </w:rPr>
              <w:t>Мультиформная</w:t>
            </w:r>
            <w:proofErr w:type="spellEnd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 эритема; Светочувствительность; Подострая кожная красная волчанка (см. раздел</w:t>
            </w:r>
            <w:r w:rsidR="004D63B6" w:rsidRPr="00752A69">
              <w:rPr>
                <w:rFonts w:ascii="Times New Roman" w:hAnsi="Times New Roman"/>
                <w:sz w:val="24"/>
                <w:szCs w:val="24"/>
              </w:rPr>
              <w:t xml:space="preserve"> 4.4</w:t>
            </w:r>
            <w:r w:rsidRPr="00752A69">
              <w:rPr>
                <w:rFonts w:ascii="Times New Roman" w:hAnsi="Times New Roman"/>
                <w:sz w:val="24"/>
                <w:szCs w:val="24"/>
              </w:rPr>
              <w:t>).</w:t>
            </w:r>
            <w:bookmarkEnd w:id="39"/>
          </w:p>
        </w:tc>
      </w:tr>
      <w:tr w:rsidR="00D20518" w:rsidRPr="00752A69" w14:paraId="1C0DAAAE" w14:textId="77777777" w:rsidTr="00752A69">
        <w:tc>
          <w:tcPr>
            <w:tcW w:w="1275" w:type="dxa"/>
            <w:shd w:val="clear" w:color="auto" w:fill="auto"/>
          </w:tcPr>
          <w:p w14:paraId="36A9BD6E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Заболевания опорно-двигательного аппарата и соединительной ткани</w:t>
            </w:r>
          </w:p>
        </w:tc>
        <w:tc>
          <w:tcPr>
            <w:tcW w:w="1475" w:type="dxa"/>
            <w:shd w:val="clear" w:color="auto" w:fill="auto"/>
          </w:tcPr>
          <w:p w14:paraId="28D4F92F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0D6839D9" w14:textId="77777777" w:rsidR="00D20518" w:rsidRPr="00752A69" w:rsidRDefault="004D63B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0" w:name="_Hlk170900043"/>
            <w:r w:rsidRPr="00752A69">
              <w:rPr>
                <w:rFonts w:ascii="Times New Roman" w:hAnsi="Times New Roman"/>
                <w:sz w:val="24"/>
                <w:szCs w:val="24"/>
              </w:rPr>
              <w:t xml:space="preserve">Перелом бедра, запястья или позвоночника </w:t>
            </w:r>
            <w:bookmarkEnd w:id="40"/>
            <w:r w:rsidRPr="00752A69">
              <w:rPr>
                <w:rFonts w:ascii="Times New Roman" w:hAnsi="Times New Roman"/>
                <w:sz w:val="24"/>
                <w:szCs w:val="24"/>
              </w:rPr>
              <w:t>(см. раздел 4.4)</w:t>
            </w:r>
          </w:p>
        </w:tc>
        <w:tc>
          <w:tcPr>
            <w:tcW w:w="1631" w:type="dxa"/>
            <w:shd w:val="clear" w:color="auto" w:fill="auto"/>
          </w:tcPr>
          <w:p w14:paraId="727FEF07" w14:textId="77777777" w:rsidR="00D20518" w:rsidRPr="00752A69" w:rsidRDefault="004D63B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1" w:name="_Hlk170900140"/>
            <w:r w:rsidRPr="00752A69">
              <w:rPr>
                <w:rFonts w:ascii="Times New Roman" w:hAnsi="Times New Roman"/>
                <w:sz w:val="24"/>
                <w:szCs w:val="24"/>
              </w:rPr>
              <w:t>Артралгия; Миалгия</w:t>
            </w:r>
            <w:bookmarkEnd w:id="41"/>
          </w:p>
        </w:tc>
        <w:tc>
          <w:tcPr>
            <w:tcW w:w="1336" w:type="dxa"/>
            <w:shd w:val="clear" w:color="auto" w:fill="auto"/>
          </w:tcPr>
          <w:p w14:paraId="3101DE66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2FBDB676" w14:textId="77777777" w:rsidR="00D20518" w:rsidRPr="00752A69" w:rsidRDefault="004D63B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2" w:name="_Hlk170900317"/>
            <w:r w:rsidRPr="00752A69">
              <w:rPr>
                <w:rFonts w:ascii="Times New Roman" w:hAnsi="Times New Roman"/>
                <w:sz w:val="24"/>
                <w:szCs w:val="24"/>
              </w:rPr>
              <w:t>Мышечный спазм</w:t>
            </w:r>
            <w:r w:rsidRPr="00752A69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  <w:bookmarkEnd w:id="42"/>
          </w:p>
        </w:tc>
      </w:tr>
      <w:tr w:rsidR="00D20518" w:rsidRPr="00752A69" w14:paraId="3F3F822E" w14:textId="77777777" w:rsidTr="00752A69">
        <w:tc>
          <w:tcPr>
            <w:tcW w:w="1275" w:type="dxa"/>
            <w:shd w:val="clear" w:color="auto" w:fill="auto"/>
          </w:tcPr>
          <w:p w14:paraId="53599892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Нарушения со стороны почек и мочевыво</w:t>
            </w:r>
            <w:r w:rsidRPr="00752A69">
              <w:rPr>
                <w:rFonts w:ascii="Times New Roman" w:hAnsi="Times New Roman"/>
                <w:sz w:val="24"/>
                <w:szCs w:val="24"/>
              </w:rPr>
              <w:lastRenderedPageBreak/>
              <w:t>дящих путей</w:t>
            </w:r>
          </w:p>
        </w:tc>
        <w:tc>
          <w:tcPr>
            <w:tcW w:w="1475" w:type="dxa"/>
            <w:shd w:val="clear" w:color="auto" w:fill="auto"/>
          </w:tcPr>
          <w:p w14:paraId="2F3EFE32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1EAA7FE2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DF8D207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14:paraId="1D9E109D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53F0281B" w14:textId="77777777" w:rsidR="00D20518" w:rsidRPr="00752A69" w:rsidRDefault="004D63B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3" w:name="_Hlk170900329"/>
            <w:r w:rsidRPr="00752A69">
              <w:rPr>
                <w:rFonts w:ascii="Times New Roman" w:hAnsi="Times New Roman"/>
                <w:sz w:val="24"/>
                <w:szCs w:val="24"/>
              </w:rPr>
              <w:t>Интерстициальный нефрит (с возможным прогрессиров</w:t>
            </w:r>
            <w:r w:rsidRPr="00752A69">
              <w:rPr>
                <w:rFonts w:ascii="Times New Roman" w:hAnsi="Times New Roman"/>
                <w:sz w:val="24"/>
                <w:szCs w:val="24"/>
              </w:rPr>
              <w:lastRenderedPageBreak/>
              <w:t>анием до почечной недостаточности)</w:t>
            </w:r>
            <w:bookmarkEnd w:id="43"/>
          </w:p>
        </w:tc>
      </w:tr>
      <w:tr w:rsidR="00D20518" w:rsidRPr="00752A69" w14:paraId="51488913" w14:textId="77777777" w:rsidTr="00752A69">
        <w:tc>
          <w:tcPr>
            <w:tcW w:w="1275" w:type="dxa"/>
            <w:shd w:val="clear" w:color="auto" w:fill="auto"/>
          </w:tcPr>
          <w:p w14:paraId="0271E78C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lastRenderedPageBreak/>
              <w:t>Репродуктивная система и заболевания молочной железы</w:t>
            </w:r>
          </w:p>
        </w:tc>
        <w:tc>
          <w:tcPr>
            <w:tcW w:w="1475" w:type="dxa"/>
            <w:shd w:val="clear" w:color="auto" w:fill="auto"/>
          </w:tcPr>
          <w:p w14:paraId="66CC8840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14:paraId="4F93E767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78213753" w14:textId="77777777" w:rsidR="00D20518" w:rsidRPr="00752A69" w:rsidRDefault="004D63B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4" w:name="_Hlk170900152"/>
            <w:r w:rsidRPr="00752A69">
              <w:rPr>
                <w:rFonts w:ascii="Times New Roman" w:hAnsi="Times New Roman"/>
                <w:sz w:val="24"/>
                <w:szCs w:val="24"/>
              </w:rPr>
              <w:t>Гинекомастия</w:t>
            </w:r>
            <w:bookmarkEnd w:id="44"/>
          </w:p>
        </w:tc>
        <w:tc>
          <w:tcPr>
            <w:tcW w:w="1336" w:type="dxa"/>
            <w:shd w:val="clear" w:color="auto" w:fill="auto"/>
          </w:tcPr>
          <w:p w14:paraId="2D547459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1C00444A" w14:textId="77777777" w:rsidR="00D20518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518" w:rsidRPr="00752A69" w14:paraId="3BA566D4" w14:textId="77777777" w:rsidTr="00752A69">
        <w:tc>
          <w:tcPr>
            <w:tcW w:w="1275" w:type="dxa"/>
            <w:shd w:val="clear" w:color="auto" w:fill="auto"/>
          </w:tcPr>
          <w:p w14:paraId="66BF6E99" w14:textId="77777777" w:rsidR="001B4586" w:rsidRPr="00752A69" w:rsidRDefault="00D20518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A69">
              <w:rPr>
                <w:rFonts w:ascii="Times New Roman" w:hAnsi="Times New Roman"/>
                <w:sz w:val="24"/>
                <w:szCs w:val="24"/>
              </w:rPr>
              <w:t>Общие расстройства и состояния в месте введения</w:t>
            </w:r>
          </w:p>
        </w:tc>
        <w:tc>
          <w:tcPr>
            <w:tcW w:w="1475" w:type="dxa"/>
            <w:shd w:val="clear" w:color="auto" w:fill="auto"/>
          </w:tcPr>
          <w:p w14:paraId="5902D579" w14:textId="77777777" w:rsidR="001B4586" w:rsidRPr="00752A69" w:rsidRDefault="004D63B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5" w:name="_Hlk170899956"/>
            <w:r w:rsidRPr="00752A69">
              <w:rPr>
                <w:rFonts w:ascii="Times New Roman" w:hAnsi="Times New Roman"/>
                <w:sz w:val="24"/>
                <w:szCs w:val="24"/>
              </w:rPr>
              <w:t>Тромбофлебит в месте инъекции</w:t>
            </w:r>
            <w:bookmarkEnd w:id="45"/>
          </w:p>
        </w:tc>
        <w:tc>
          <w:tcPr>
            <w:tcW w:w="1911" w:type="dxa"/>
            <w:shd w:val="clear" w:color="auto" w:fill="auto"/>
          </w:tcPr>
          <w:p w14:paraId="5CC46064" w14:textId="77777777" w:rsidR="001B4586" w:rsidRPr="00752A69" w:rsidRDefault="004D63B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6" w:name="_Hlk170900050"/>
            <w:r w:rsidRPr="00752A69">
              <w:rPr>
                <w:rFonts w:ascii="Times New Roman" w:hAnsi="Times New Roman"/>
                <w:sz w:val="24"/>
                <w:szCs w:val="24"/>
              </w:rPr>
              <w:t>Астения, усталость и недомогание</w:t>
            </w:r>
            <w:bookmarkEnd w:id="46"/>
          </w:p>
        </w:tc>
        <w:tc>
          <w:tcPr>
            <w:tcW w:w="1631" w:type="dxa"/>
            <w:shd w:val="clear" w:color="auto" w:fill="auto"/>
          </w:tcPr>
          <w:p w14:paraId="74B2C992" w14:textId="77777777" w:rsidR="001B4586" w:rsidRPr="00752A69" w:rsidRDefault="004D63B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7" w:name="_Hlk170900159"/>
            <w:r w:rsidRPr="00752A69">
              <w:rPr>
                <w:rFonts w:ascii="Times New Roman" w:hAnsi="Times New Roman"/>
                <w:sz w:val="24"/>
                <w:szCs w:val="24"/>
              </w:rPr>
              <w:t>Повышена температура тела; Периферические отеки</w:t>
            </w:r>
            <w:bookmarkEnd w:id="47"/>
          </w:p>
        </w:tc>
        <w:tc>
          <w:tcPr>
            <w:tcW w:w="1336" w:type="dxa"/>
            <w:shd w:val="clear" w:color="auto" w:fill="auto"/>
          </w:tcPr>
          <w:p w14:paraId="09EBDFCD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8F57565" w14:textId="77777777" w:rsidR="001B4586" w:rsidRPr="00752A69" w:rsidRDefault="001B4586" w:rsidP="00752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6A343" w14:textId="77777777" w:rsidR="004D63B6" w:rsidRPr="004D63B6" w:rsidRDefault="004D63B6" w:rsidP="004D6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8" w:name="_Hlk170900341"/>
      <w:r w:rsidRPr="004D63B6">
        <w:rPr>
          <w:rFonts w:ascii="Times New Roman" w:hAnsi="Times New Roman"/>
          <w:sz w:val="24"/>
          <w:szCs w:val="24"/>
        </w:rPr>
        <w:t xml:space="preserve">(1) </w:t>
      </w:r>
      <w:proofErr w:type="spellStart"/>
      <w:r w:rsidRPr="004D63B6">
        <w:rPr>
          <w:rFonts w:ascii="Times New Roman" w:hAnsi="Times New Roman"/>
          <w:sz w:val="24"/>
          <w:szCs w:val="24"/>
        </w:rPr>
        <w:t>Гипокальциемия</w:t>
      </w:r>
      <w:proofErr w:type="spellEnd"/>
      <w:r w:rsidRPr="004D63B6">
        <w:rPr>
          <w:rFonts w:ascii="Times New Roman" w:hAnsi="Times New Roman"/>
          <w:sz w:val="24"/>
          <w:szCs w:val="24"/>
        </w:rPr>
        <w:t xml:space="preserve"> в сочетании с </w:t>
      </w:r>
      <w:proofErr w:type="spellStart"/>
      <w:r w:rsidRPr="004D63B6">
        <w:rPr>
          <w:rFonts w:ascii="Times New Roman" w:hAnsi="Times New Roman"/>
          <w:sz w:val="24"/>
          <w:szCs w:val="24"/>
        </w:rPr>
        <w:t>гипомагниемией</w:t>
      </w:r>
      <w:proofErr w:type="spellEnd"/>
    </w:p>
    <w:p w14:paraId="23922FC9" w14:textId="77777777" w:rsidR="001B4586" w:rsidRDefault="004D63B6" w:rsidP="004D6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3B6">
        <w:rPr>
          <w:rFonts w:ascii="Times New Roman" w:hAnsi="Times New Roman"/>
          <w:sz w:val="24"/>
          <w:szCs w:val="24"/>
        </w:rPr>
        <w:t>(2) Мышечный спазм как следствие нарушения электролитного баланса</w:t>
      </w:r>
      <w:bookmarkEnd w:id="48"/>
      <w:r w:rsidRPr="004D63B6">
        <w:rPr>
          <w:rFonts w:ascii="Times New Roman" w:hAnsi="Times New Roman"/>
          <w:sz w:val="24"/>
          <w:szCs w:val="24"/>
        </w:rPr>
        <w:t>.</w:t>
      </w:r>
    </w:p>
    <w:p w14:paraId="3A4001D2" w14:textId="77777777" w:rsidR="001B4586" w:rsidRPr="00D20518" w:rsidRDefault="001B4586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299EC" w14:textId="77777777" w:rsidR="00814DFC" w:rsidRPr="00D20518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518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4727DB42" w14:textId="77777777" w:rsidR="004528E1" w:rsidRPr="00D20518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D20518">
        <w:rPr>
          <w:rFonts w:ascii="Times New Roman" w:hAnsi="Times New Roman"/>
          <w:sz w:val="24"/>
          <w:szCs w:val="24"/>
        </w:rPr>
        <w:t>ЛП</w:t>
      </w:r>
      <w:r w:rsidRPr="00D20518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D20518">
        <w:rPr>
          <w:rFonts w:ascii="Times New Roman" w:hAnsi="Times New Roman"/>
          <w:sz w:val="24"/>
          <w:szCs w:val="24"/>
        </w:rPr>
        <w:t>ЛП</w:t>
      </w:r>
      <w:r w:rsidRPr="00D20518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D20518">
        <w:rPr>
          <w:rFonts w:ascii="Times New Roman" w:hAnsi="Times New Roman"/>
          <w:sz w:val="24"/>
          <w:szCs w:val="24"/>
        </w:rPr>
        <w:t>ЛП</w:t>
      </w:r>
      <w:r w:rsidRPr="00D20518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D20518">
        <w:rPr>
          <w:rFonts w:ascii="Times New Roman" w:hAnsi="Times New Roman"/>
          <w:sz w:val="24"/>
          <w:szCs w:val="24"/>
        </w:rPr>
        <w:t xml:space="preserve"> </w:t>
      </w:r>
    </w:p>
    <w:p w14:paraId="5F135BBA" w14:textId="77777777" w:rsidR="004528E1" w:rsidRPr="00D20518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18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 средств и медицинских изделий» Комитет</w:t>
      </w:r>
      <w:r w:rsidR="00881BDD" w:rsidRPr="00D20518">
        <w:rPr>
          <w:rFonts w:ascii="Times New Roman" w:hAnsi="Times New Roman"/>
          <w:sz w:val="24"/>
          <w:szCs w:val="24"/>
        </w:rPr>
        <w:t xml:space="preserve">а медицинского и фармацевтического контроля  </w:t>
      </w:r>
      <w:r w:rsidRPr="00D20518">
        <w:rPr>
          <w:rFonts w:ascii="Times New Roman" w:hAnsi="Times New Roman"/>
          <w:sz w:val="24"/>
          <w:szCs w:val="24"/>
        </w:rPr>
        <w:t>Министерства здравоохранения Республики Казахстан</w:t>
      </w:r>
    </w:p>
    <w:p w14:paraId="04B2C5DE" w14:textId="77777777" w:rsidR="00814DFC" w:rsidRPr="00D20518" w:rsidRDefault="00C0510C" w:rsidP="005B7F9D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D20518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D20518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D20518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D2051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D20518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D2051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D20518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="005B7F9D" w:rsidRPr="00D20518">
        <w:rPr>
          <w:rFonts w:ascii="Times New Roman" w:hAnsi="Times New Roman"/>
          <w:sz w:val="24"/>
          <w:szCs w:val="24"/>
        </w:rPr>
        <w:tab/>
      </w:r>
    </w:p>
    <w:p w14:paraId="595D7A36" w14:textId="77777777" w:rsidR="00515826" w:rsidRPr="00D20518" w:rsidRDefault="00515826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265C08" w14:textId="77777777" w:rsidR="00123DB5" w:rsidRPr="00D20518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44A586C2" w14:textId="77777777" w:rsidR="004D63B6" w:rsidRPr="004D63B6" w:rsidRDefault="004D63B6" w:rsidP="004D6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9" w:name="_Hlk170899837"/>
      <w:r w:rsidRPr="004D63B6">
        <w:rPr>
          <w:rFonts w:ascii="Times New Roman" w:hAnsi="Times New Roman"/>
          <w:color w:val="000000"/>
          <w:sz w:val="24"/>
          <w:szCs w:val="24"/>
        </w:rPr>
        <w:t>Симптомы передозировки у человека неизвестны.</w:t>
      </w:r>
    </w:p>
    <w:p w14:paraId="1D2F9107" w14:textId="77777777" w:rsidR="00881BDD" w:rsidRDefault="004D63B6" w:rsidP="004D6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63B6">
        <w:rPr>
          <w:rFonts w:ascii="Times New Roman" w:hAnsi="Times New Roman"/>
          <w:color w:val="000000"/>
          <w:sz w:val="24"/>
          <w:szCs w:val="24"/>
        </w:rPr>
        <w:t>Системное воздействие в дозах до 240 мг, вводимых внутривенно в течение 2 минут, хорошо переносилось.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63B6">
        <w:rPr>
          <w:rFonts w:ascii="Times New Roman" w:hAnsi="Times New Roman"/>
          <w:color w:val="000000"/>
          <w:sz w:val="24"/>
          <w:szCs w:val="24"/>
        </w:rPr>
        <w:t xml:space="preserve">Поскольку </w:t>
      </w:r>
      <w:proofErr w:type="spellStart"/>
      <w:r w:rsidRPr="004D63B6">
        <w:rPr>
          <w:rFonts w:ascii="Times New Roman" w:hAnsi="Times New Roman"/>
          <w:color w:val="000000"/>
          <w:sz w:val="24"/>
          <w:szCs w:val="24"/>
        </w:rPr>
        <w:t>пантопразол</w:t>
      </w:r>
      <w:proofErr w:type="spellEnd"/>
      <w:r w:rsidRPr="004D63B6">
        <w:rPr>
          <w:rFonts w:ascii="Times New Roman" w:hAnsi="Times New Roman"/>
          <w:color w:val="000000"/>
          <w:sz w:val="24"/>
          <w:szCs w:val="24"/>
        </w:rPr>
        <w:t xml:space="preserve"> в значительной степени связывается с белками, его нелегко подвергнуть диализу.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63B6">
        <w:rPr>
          <w:rFonts w:ascii="Times New Roman" w:hAnsi="Times New Roman"/>
          <w:color w:val="000000"/>
          <w:sz w:val="24"/>
          <w:szCs w:val="24"/>
        </w:rPr>
        <w:t>В случае передозировки с клиническими признаками интоксикации, кроме симптоматического и поддерживающего лечения, конкретных терапевтических рекомендаций дать невозможно.</w:t>
      </w:r>
    </w:p>
    <w:bookmarkEnd w:id="49"/>
    <w:p w14:paraId="44DB7722" w14:textId="77777777" w:rsidR="004D63B6" w:rsidRPr="00D20518" w:rsidRDefault="004D63B6" w:rsidP="004D6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2763908" w14:textId="77777777" w:rsidR="00C153F2" w:rsidRPr="00D2051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20518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7C76AE09" w14:textId="77777777" w:rsidR="00C153F2" w:rsidRPr="00D20518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20518">
        <w:rPr>
          <w:rFonts w:ascii="Times New Roman" w:hAnsi="Times New Roman"/>
          <w:b/>
          <w:sz w:val="24"/>
          <w:szCs w:val="24"/>
          <w:lang w:eastAsia="ru-RU"/>
        </w:rPr>
        <w:t>5.1</w:t>
      </w:r>
      <w:r w:rsidR="00C153F2" w:rsidRPr="00D205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153F2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6FFF9012" w14:textId="77777777" w:rsidR="003C2B8F" w:rsidRPr="003C2B8F" w:rsidRDefault="00C153F2" w:rsidP="003C2B8F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C2B8F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Фармакотерапевтическая группа: </w:t>
      </w:r>
      <w:proofErr w:type="spellStart"/>
      <w:r w:rsidR="003C2B8F" w:rsidRPr="003C2B8F">
        <w:rPr>
          <w:rFonts w:ascii="Times New Roman" w:hAnsi="Times New Roman"/>
          <w:color w:val="000000"/>
          <w:sz w:val="24"/>
          <w:szCs w:val="24"/>
        </w:rPr>
        <w:t>Противоязвенные</w:t>
      </w:r>
      <w:proofErr w:type="spellEnd"/>
      <w:r w:rsidR="003C2B8F" w:rsidRPr="003C2B8F">
        <w:rPr>
          <w:rFonts w:ascii="Times New Roman" w:hAnsi="Times New Roman"/>
          <w:color w:val="000000"/>
          <w:sz w:val="24"/>
          <w:szCs w:val="24"/>
        </w:rPr>
        <w:t xml:space="preserve"> препараты и препараты для лечения </w:t>
      </w:r>
      <w:proofErr w:type="spellStart"/>
      <w:r w:rsidR="003C2B8F" w:rsidRPr="003C2B8F">
        <w:rPr>
          <w:rFonts w:ascii="Times New Roman" w:hAnsi="Times New Roman"/>
          <w:color w:val="000000"/>
          <w:sz w:val="24"/>
          <w:szCs w:val="24"/>
        </w:rPr>
        <w:t>гастроэзофагеальной</w:t>
      </w:r>
      <w:proofErr w:type="spellEnd"/>
      <w:r w:rsidR="003C2B8F" w:rsidRPr="003C2B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C2B8F" w:rsidRPr="003C2B8F">
        <w:rPr>
          <w:rFonts w:ascii="Times New Roman" w:hAnsi="Times New Roman"/>
          <w:color w:val="000000"/>
          <w:sz w:val="24"/>
          <w:szCs w:val="24"/>
        </w:rPr>
        <w:t>рефлюксной</w:t>
      </w:r>
      <w:proofErr w:type="spellEnd"/>
      <w:r w:rsidR="003C2B8F" w:rsidRPr="003C2B8F">
        <w:rPr>
          <w:rFonts w:ascii="Times New Roman" w:hAnsi="Times New Roman"/>
          <w:color w:val="000000"/>
          <w:sz w:val="24"/>
          <w:szCs w:val="24"/>
        </w:rPr>
        <w:t xml:space="preserve"> болезни (</w:t>
      </w:r>
      <w:proofErr w:type="spellStart"/>
      <w:r w:rsidR="003C2B8F" w:rsidRPr="003C2B8F">
        <w:rPr>
          <w:rFonts w:ascii="Times New Roman" w:hAnsi="Times New Roman"/>
          <w:color w:val="000000"/>
          <w:sz w:val="24"/>
          <w:szCs w:val="24"/>
        </w:rPr>
        <w:t>gastro-oesophageal</w:t>
      </w:r>
      <w:proofErr w:type="spellEnd"/>
      <w:r w:rsidR="003C2B8F" w:rsidRPr="003C2B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C2B8F" w:rsidRPr="003C2B8F">
        <w:rPr>
          <w:rFonts w:ascii="Times New Roman" w:hAnsi="Times New Roman"/>
          <w:color w:val="000000"/>
          <w:sz w:val="24"/>
          <w:szCs w:val="24"/>
        </w:rPr>
        <w:t>reflux</w:t>
      </w:r>
      <w:proofErr w:type="spellEnd"/>
      <w:r w:rsidR="003C2B8F" w:rsidRPr="003C2B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C2B8F" w:rsidRPr="003C2B8F">
        <w:rPr>
          <w:rFonts w:ascii="Times New Roman" w:hAnsi="Times New Roman"/>
          <w:color w:val="000000"/>
          <w:sz w:val="24"/>
          <w:szCs w:val="24"/>
        </w:rPr>
        <w:t>disease</w:t>
      </w:r>
      <w:proofErr w:type="spellEnd"/>
      <w:r w:rsidR="003C2B8F" w:rsidRPr="003C2B8F">
        <w:rPr>
          <w:rFonts w:ascii="Times New Roman" w:hAnsi="Times New Roman"/>
          <w:color w:val="000000"/>
          <w:sz w:val="24"/>
          <w:szCs w:val="24"/>
        </w:rPr>
        <w:t xml:space="preserve"> – GORD). Протонного насоса ингибиторы. </w:t>
      </w:r>
      <w:proofErr w:type="spellStart"/>
      <w:r w:rsidR="003C2B8F" w:rsidRPr="003C2B8F">
        <w:rPr>
          <w:rFonts w:ascii="Times New Roman" w:hAnsi="Times New Roman"/>
          <w:color w:val="000000"/>
          <w:sz w:val="24"/>
          <w:szCs w:val="24"/>
        </w:rPr>
        <w:t>Пантопразол</w:t>
      </w:r>
      <w:proofErr w:type="spellEnd"/>
      <w:r w:rsidR="003C2B8F" w:rsidRPr="003C2B8F">
        <w:rPr>
          <w:rFonts w:ascii="Times New Roman" w:hAnsi="Times New Roman"/>
          <w:color w:val="000000"/>
          <w:sz w:val="24"/>
          <w:szCs w:val="24"/>
        </w:rPr>
        <w:t>.</w:t>
      </w:r>
    </w:p>
    <w:p w14:paraId="3A46E5AB" w14:textId="77777777" w:rsidR="003C2B8F" w:rsidRPr="003C2B8F" w:rsidRDefault="003C2B8F" w:rsidP="003C2B8F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C2B8F">
        <w:rPr>
          <w:rFonts w:ascii="Times New Roman" w:hAnsi="Times New Roman"/>
          <w:color w:val="000000"/>
          <w:sz w:val="24"/>
          <w:szCs w:val="24"/>
        </w:rPr>
        <w:t>Код ATХ А02ВС02</w:t>
      </w:r>
    </w:p>
    <w:p w14:paraId="4CE5B6F3" w14:textId="77777777" w:rsidR="004D63B6" w:rsidRDefault="004D63B6" w:rsidP="003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D63B6">
        <w:rPr>
          <w:rFonts w:ascii="Times New Roman" w:hAnsi="Times New Roman"/>
          <w:sz w:val="24"/>
          <w:szCs w:val="24"/>
          <w:lang w:eastAsia="ru-RU"/>
        </w:rPr>
        <w:t>Пантопразол</w:t>
      </w:r>
      <w:proofErr w:type="spellEnd"/>
      <w:r w:rsidRPr="004D63B6">
        <w:rPr>
          <w:rFonts w:ascii="Times New Roman" w:hAnsi="Times New Roman"/>
          <w:sz w:val="24"/>
          <w:szCs w:val="24"/>
          <w:lang w:eastAsia="ru-RU"/>
        </w:rPr>
        <w:t xml:space="preserve"> представляет собой замещенный </w:t>
      </w:r>
      <w:proofErr w:type="spellStart"/>
      <w:r w:rsidRPr="004D63B6">
        <w:rPr>
          <w:rFonts w:ascii="Times New Roman" w:hAnsi="Times New Roman"/>
          <w:sz w:val="24"/>
          <w:szCs w:val="24"/>
          <w:lang w:eastAsia="ru-RU"/>
        </w:rPr>
        <w:t>бензимидазол</w:t>
      </w:r>
      <w:proofErr w:type="spellEnd"/>
      <w:r w:rsidRPr="004D63B6">
        <w:rPr>
          <w:rFonts w:ascii="Times New Roman" w:hAnsi="Times New Roman"/>
          <w:sz w:val="24"/>
          <w:szCs w:val="24"/>
          <w:lang w:eastAsia="ru-RU"/>
        </w:rPr>
        <w:t>, который ингибирует секрецию соляной кислоты в желудке путем специфической блокады протонных насосов париетальных клеток.</w:t>
      </w:r>
    </w:p>
    <w:p w14:paraId="23A85C59" w14:textId="77777777" w:rsidR="004D63B6" w:rsidRPr="004D63B6" w:rsidRDefault="004D63B6" w:rsidP="003C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4D63B6">
        <w:rPr>
          <w:rFonts w:ascii="Times New Roman" w:hAnsi="Times New Roman"/>
          <w:i/>
          <w:iCs/>
          <w:sz w:val="24"/>
          <w:szCs w:val="24"/>
          <w:lang w:eastAsia="ru-RU"/>
        </w:rPr>
        <w:t>Фармакодинамические эффекты</w:t>
      </w:r>
    </w:p>
    <w:p w14:paraId="0CEB9488" w14:textId="77777777" w:rsidR="004D63B6" w:rsidRDefault="004D63B6" w:rsidP="004D6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D63B6">
        <w:rPr>
          <w:rFonts w:ascii="Times New Roman" w:hAnsi="Times New Roman"/>
          <w:sz w:val="24"/>
          <w:szCs w:val="24"/>
          <w:lang w:eastAsia="ru-RU"/>
        </w:rPr>
        <w:t>Пантопразол</w:t>
      </w:r>
      <w:proofErr w:type="spellEnd"/>
      <w:r w:rsidRPr="004D63B6">
        <w:rPr>
          <w:rFonts w:ascii="Times New Roman" w:hAnsi="Times New Roman"/>
          <w:sz w:val="24"/>
          <w:szCs w:val="24"/>
          <w:lang w:eastAsia="ru-RU"/>
        </w:rPr>
        <w:t xml:space="preserve"> превращается в активную форму в кислой среде париетальных клеток, где он ингибирует фермент Н+, К+-</w:t>
      </w:r>
      <w:proofErr w:type="spellStart"/>
      <w:r w:rsidRPr="004D63B6">
        <w:rPr>
          <w:rFonts w:ascii="Times New Roman" w:hAnsi="Times New Roman"/>
          <w:sz w:val="24"/>
          <w:szCs w:val="24"/>
          <w:lang w:eastAsia="ru-RU"/>
        </w:rPr>
        <w:t>АТФазу</w:t>
      </w:r>
      <w:proofErr w:type="spellEnd"/>
      <w:r w:rsidRPr="004D63B6">
        <w:rPr>
          <w:rFonts w:ascii="Times New Roman" w:hAnsi="Times New Roman"/>
          <w:sz w:val="24"/>
          <w:szCs w:val="24"/>
          <w:lang w:eastAsia="ru-RU"/>
        </w:rPr>
        <w:t xml:space="preserve">, т.е. заключительный этап выработки соляной кислоты в желудке. Ингибирование является </w:t>
      </w:r>
      <w:proofErr w:type="spellStart"/>
      <w:r w:rsidRPr="004D63B6">
        <w:rPr>
          <w:rFonts w:ascii="Times New Roman" w:hAnsi="Times New Roman"/>
          <w:sz w:val="24"/>
          <w:szCs w:val="24"/>
          <w:lang w:eastAsia="ru-RU"/>
        </w:rPr>
        <w:t>дозозависимым</w:t>
      </w:r>
      <w:proofErr w:type="spellEnd"/>
      <w:r w:rsidRPr="004D63B6">
        <w:rPr>
          <w:rFonts w:ascii="Times New Roman" w:hAnsi="Times New Roman"/>
          <w:sz w:val="24"/>
          <w:szCs w:val="24"/>
          <w:lang w:eastAsia="ru-RU"/>
        </w:rPr>
        <w:t xml:space="preserve"> и влияет как на </w:t>
      </w:r>
      <w:r w:rsidRPr="004D63B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базальную, так и на стимулированную секрецию кислоты. У большинства пациентов освобождение от симптомов достигается в течение 2 недель. Как и другие ингибиторы протонной помпы и ингибиторы Н2-рецепторов, лечение </w:t>
      </w:r>
      <w:proofErr w:type="spellStart"/>
      <w:r w:rsidRPr="004D63B6">
        <w:rPr>
          <w:rFonts w:ascii="Times New Roman" w:hAnsi="Times New Roman"/>
          <w:sz w:val="24"/>
          <w:szCs w:val="24"/>
          <w:lang w:eastAsia="ru-RU"/>
        </w:rPr>
        <w:t>пантопразолом</w:t>
      </w:r>
      <w:proofErr w:type="spellEnd"/>
      <w:r w:rsidRPr="004D63B6">
        <w:rPr>
          <w:rFonts w:ascii="Times New Roman" w:hAnsi="Times New Roman"/>
          <w:sz w:val="24"/>
          <w:szCs w:val="24"/>
          <w:lang w:eastAsia="ru-RU"/>
        </w:rPr>
        <w:t xml:space="preserve"> снижает кислотность желудка и тем самым увеличивает уровень гастрина пропорционально снижению кислотности. Увеличение гастрина обратимо. Поскольку </w:t>
      </w:r>
      <w:proofErr w:type="spellStart"/>
      <w:r w:rsidRPr="004D63B6">
        <w:rPr>
          <w:rFonts w:ascii="Times New Roman" w:hAnsi="Times New Roman"/>
          <w:sz w:val="24"/>
          <w:szCs w:val="24"/>
          <w:lang w:eastAsia="ru-RU"/>
        </w:rPr>
        <w:t>пантопразол</w:t>
      </w:r>
      <w:proofErr w:type="spellEnd"/>
      <w:r w:rsidRPr="004D63B6">
        <w:rPr>
          <w:rFonts w:ascii="Times New Roman" w:hAnsi="Times New Roman"/>
          <w:sz w:val="24"/>
          <w:szCs w:val="24"/>
          <w:lang w:eastAsia="ru-RU"/>
        </w:rPr>
        <w:t xml:space="preserve"> связывается с ферментом, расположенным </w:t>
      </w:r>
      <w:proofErr w:type="spellStart"/>
      <w:r w:rsidRPr="004D63B6">
        <w:rPr>
          <w:rFonts w:ascii="Times New Roman" w:hAnsi="Times New Roman"/>
          <w:sz w:val="24"/>
          <w:szCs w:val="24"/>
          <w:lang w:eastAsia="ru-RU"/>
        </w:rPr>
        <w:t>дистальнее</w:t>
      </w:r>
      <w:proofErr w:type="spellEnd"/>
      <w:r w:rsidRPr="004D63B6">
        <w:rPr>
          <w:rFonts w:ascii="Times New Roman" w:hAnsi="Times New Roman"/>
          <w:sz w:val="24"/>
          <w:szCs w:val="24"/>
          <w:lang w:eastAsia="ru-RU"/>
        </w:rPr>
        <w:t xml:space="preserve"> уровня клеточных рецепторов, он может ингибировать секрецию соляной кислоты независимо от стимуляции другими веществами (ацетилхолином, гистамином, гастрином). Эффект одинаков при введении препарата перорально или внутривенно.</w:t>
      </w:r>
    </w:p>
    <w:p w14:paraId="44ADE2D9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72879">
        <w:rPr>
          <w:rFonts w:ascii="Times New Roman" w:hAnsi="Times New Roman"/>
          <w:i/>
          <w:iCs/>
          <w:sz w:val="24"/>
          <w:szCs w:val="24"/>
          <w:lang w:eastAsia="ru-RU"/>
        </w:rPr>
        <w:t>Фармакодинамические эффекты</w:t>
      </w:r>
    </w:p>
    <w:p w14:paraId="5DE47692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2879">
        <w:rPr>
          <w:rFonts w:ascii="Times New Roman" w:hAnsi="Times New Roman"/>
          <w:sz w:val="24"/>
          <w:szCs w:val="24"/>
          <w:lang w:eastAsia="ru-RU"/>
        </w:rPr>
        <w:t xml:space="preserve">Показатели гастрина натощак увеличиваются под действием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пантопразола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 xml:space="preserve">. При кратковременном применении в большинстве случаев они не превышают верхнюю границу нормы. При длительном лечении уровень гастрина в большинстве случаев удваивается. Однако чрезмерное увеличение происходит лишь в единичных случаях. В результате в меньшинстве случаев при длительном лечении (от простой до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аденоматоидной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 xml:space="preserve"> гиперплазии) наблюдается легкое или умеренное увеличение количества специфических эндокринных (ECL) клеток в желудке. Однако, согласно исследованиям, проведенным до сих пор, образование предшественников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карциноидов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 xml:space="preserve"> (атипическая гиперплазия) или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карциноидов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 xml:space="preserve"> желудка, обнаруженное в экспериментах на животных (см. раздел 5.3), у людей не наблюдалось.</w:t>
      </w:r>
    </w:p>
    <w:p w14:paraId="20A5B3C8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2879">
        <w:rPr>
          <w:rFonts w:ascii="Times New Roman" w:hAnsi="Times New Roman"/>
          <w:sz w:val="24"/>
          <w:szCs w:val="24"/>
          <w:lang w:eastAsia="ru-RU"/>
        </w:rPr>
        <w:t xml:space="preserve">Согласно результатам исследований на животных, нельзя полностью исключить влияние длительного лечения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пантопразолом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>, превышающего один год, на эндокринные параметры щитовидной железы.</w:t>
      </w:r>
    </w:p>
    <w:p w14:paraId="0FEEB2FC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2879">
        <w:rPr>
          <w:rFonts w:ascii="Times New Roman" w:hAnsi="Times New Roman"/>
          <w:sz w:val="24"/>
          <w:szCs w:val="24"/>
          <w:lang w:eastAsia="ru-RU"/>
        </w:rPr>
        <w:t xml:space="preserve">Во время лечения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антисекреторными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 xml:space="preserve"> лекарственными средствами уровень сывороточного гастрина увеличивается в ответ на снижение секреции кислоты. Также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CgA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 xml:space="preserve"> повышается из-за снижения кислотности желудка. Повышенный уровень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CgA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 xml:space="preserve"> может помешать исследованию нейроэндокринных опухолей.</w:t>
      </w:r>
    </w:p>
    <w:p w14:paraId="53553148" w14:textId="77777777" w:rsidR="004D63B6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2879">
        <w:rPr>
          <w:rFonts w:ascii="Times New Roman" w:hAnsi="Times New Roman"/>
          <w:sz w:val="24"/>
          <w:szCs w:val="24"/>
          <w:lang w:eastAsia="ru-RU"/>
        </w:rPr>
        <w:t xml:space="preserve">Имеющиеся опубликованные данные свидетельствуют о том, что ингибиторы протонной помпы следует отменить за 5 дней до 2 недель до измерения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CgA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 xml:space="preserve">. Это делается для того, чтобы уровни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CgA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 xml:space="preserve">, которые могли быть ложно повышены после лечения ИПП, вернулись к </w:t>
      </w:r>
      <w:proofErr w:type="spellStart"/>
      <w:r w:rsidRPr="00372879">
        <w:rPr>
          <w:rFonts w:ascii="Times New Roman" w:hAnsi="Times New Roman"/>
          <w:sz w:val="24"/>
          <w:szCs w:val="24"/>
          <w:lang w:eastAsia="ru-RU"/>
        </w:rPr>
        <w:t>референсному</w:t>
      </w:r>
      <w:proofErr w:type="spellEnd"/>
      <w:r w:rsidRPr="00372879">
        <w:rPr>
          <w:rFonts w:ascii="Times New Roman" w:hAnsi="Times New Roman"/>
          <w:sz w:val="24"/>
          <w:szCs w:val="24"/>
          <w:lang w:eastAsia="ru-RU"/>
        </w:rPr>
        <w:t xml:space="preserve"> диапазону.</w:t>
      </w:r>
    </w:p>
    <w:p w14:paraId="065078CB" w14:textId="77777777" w:rsidR="004D63B6" w:rsidRPr="004D63B6" w:rsidRDefault="004D63B6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836AADC" w14:textId="77777777" w:rsidR="00C153F2" w:rsidRPr="00D2051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20518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44458CB8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72879">
        <w:rPr>
          <w:rFonts w:ascii="Times New Roman" w:hAnsi="Times New Roman"/>
          <w:i/>
          <w:sz w:val="24"/>
          <w:szCs w:val="24"/>
          <w:lang w:bidi="ru-RU"/>
        </w:rPr>
        <w:t>Общая фармакокинетика</w:t>
      </w:r>
    </w:p>
    <w:p w14:paraId="3B343DAB" w14:textId="77777777" w:rsidR="00957BAF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Фармакокинетика не меняется после однократного или многократного применения. В диапазоне доз от 10 до 80 мг кинетика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в плазме линейна как при пероральном, так и при внутривенном введении.</w:t>
      </w:r>
    </w:p>
    <w:p w14:paraId="5E2EA641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372879">
        <w:rPr>
          <w:rFonts w:ascii="Times New Roman" w:hAnsi="Times New Roman"/>
          <w:i/>
          <w:sz w:val="24"/>
          <w:szCs w:val="24"/>
          <w:lang w:bidi="ru-RU"/>
        </w:rPr>
        <w:t>Распределение</w:t>
      </w:r>
    </w:p>
    <w:p w14:paraId="3EAD0359" w14:textId="77777777" w:rsid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Связывание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с белками сыворотки составляет около 98%. Объем распределения около 0,15 л/кг.</w:t>
      </w:r>
    </w:p>
    <w:p w14:paraId="0E665137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proofErr w:type="spellStart"/>
      <w:r w:rsidRPr="00372879">
        <w:rPr>
          <w:rFonts w:ascii="Times New Roman" w:hAnsi="Times New Roman"/>
          <w:i/>
          <w:sz w:val="24"/>
          <w:szCs w:val="24"/>
          <w:lang w:bidi="ru-RU"/>
        </w:rPr>
        <w:t>Биотрансформация</w:t>
      </w:r>
      <w:proofErr w:type="spellEnd"/>
    </w:p>
    <w:p w14:paraId="06466355" w14:textId="77777777" w:rsid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Вещество почти исключительно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метаболизируется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в печени. Основным путем метаболизма является деметилирование с помощью CYP2C19 с последующей сульфатной конъюгацией, другой путь метаболизма включает окисление с помощью CYP3A4.</w:t>
      </w:r>
    </w:p>
    <w:p w14:paraId="555D57C5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372879">
        <w:rPr>
          <w:rFonts w:ascii="Times New Roman" w:hAnsi="Times New Roman"/>
          <w:i/>
          <w:sz w:val="24"/>
          <w:szCs w:val="24"/>
          <w:lang w:bidi="ru-RU"/>
        </w:rPr>
        <w:t>Элиминация</w:t>
      </w:r>
    </w:p>
    <w:p w14:paraId="78FCFAA1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Конечный период полувыведения составляет около 1 часа, а клиренс — около 0,1 л/ч/кг. Было несколько случаев субъектов с отсроченной элиминацией. Из-за специфического связывания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с протонными насосами париетальных клеток период полувыведения не коррелирует с гораздо большей продолжительностью действия (ингибирование секреции кислоты).</w:t>
      </w:r>
    </w:p>
    <w:p w14:paraId="1C27D911" w14:textId="77777777" w:rsid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lang w:bidi="ru-RU"/>
        </w:rPr>
        <w:lastRenderedPageBreak/>
        <w:t xml:space="preserve">Почечная элиминация представляет собой основной путь выведения (около 80 %) метаболитов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, остальная часть выводится с калом. Основным метаболитом как в сыворотке, так и в моче является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десметилпантопразол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, конъюгированный с сульфатом. Период полувыведения основного метаболита (около 1,5 часов) ненамного больше, чем у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>.</w:t>
      </w:r>
    </w:p>
    <w:p w14:paraId="3FBF2E47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u w:val="single"/>
          <w:lang w:bidi="ru-RU"/>
        </w:rPr>
        <w:t>Особ</w:t>
      </w:r>
      <w:r>
        <w:rPr>
          <w:rFonts w:ascii="Times New Roman" w:hAnsi="Times New Roman"/>
          <w:iCs/>
          <w:sz w:val="24"/>
          <w:szCs w:val="24"/>
          <w:u w:val="single"/>
          <w:lang w:bidi="ru-RU"/>
        </w:rPr>
        <w:t>ая</w:t>
      </w:r>
      <w:r w:rsidRPr="00372879">
        <w:rPr>
          <w:rFonts w:ascii="Times New Roman" w:hAnsi="Times New Roman"/>
          <w:iCs/>
          <w:sz w:val="24"/>
          <w:szCs w:val="24"/>
          <w:u w:val="single"/>
          <w:lang w:bidi="ru-RU"/>
        </w:rPr>
        <w:t xml:space="preserve"> групп</w:t>
      </w:r>
      <w:r>
        <w:rPr>
          <w:rFonts w:ascii="Times New Roman" w:hAnsi="Times New Roman"/>
          <w:iCs/>
          <w:sz w:val="24"/>
          <w:szCs w:val="24"/>
          <w:u w:val="single"/>
          <w:lang w:bidi="ru-RU"/>
        </w:rPr>
        <w:t>а</w:t>
      </w:r>
      <w:r w:rsidRPr="00372879">
        <w:rPr>
          <w:rFonts w:ascii="Times New Roman" w:hAnsi="Times New Roman"/>
          <w:iCs/>
          <w:sz w:val="24"/>
          <w:szCs w:val="24"/>
          <w:u w:val="single"/>
          <w:lang w:bidi="ru-RU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u w:val="single"/>
          <w:lang w:bidi="ru-RU"/>
        </w:rPr>
        <w:t>нациентов</w:t>
      </w:r>
      <w:proofErr w:type="spellEnd"/>
    </w:p>
    <w:p w14:paraId="245F301D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372879">
        <w:rPr>
          <w:rFonts w:ascii="Times New Roman" w:hAnsi="Times New Roman"/>
          <w:i/>
          <w:sz w:val="24"/>
          <w:szCs w:val="24"/>
          <w:lang w:bidi="ru-RU"/>
        </w:rPr>
        <w:t xml:space="preserve">Слабые </w:t>
      </w:r>
      <w:proofErr w:type="spellStart"/>
      <w:r w:rsidRPr="00372879">
        <w:rPr>
          <w:rFonts w:ascii="Times New Roman" w:hAnsi="Times New Roman"/>
          <w:i/>
          <w:sz w:val="24"/>
          <w:szCs w:val="24"/>
          <w:lang w:bidi="ru-RU"/>
        </w:rPr>
        <w:t>метаболизаторы</w:t>
      </w:r>
      <w:proofErr w:type="spellEnd"/>
    </w:p>
    <w:p w14:paraId="72C58599" w14:textId="77777777" w:rsid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Примерно у 3% населения Европы отсутствует функциональный фермент CYP2C19, и их называют </w:t>
      </w:r>
      <w:r>
        <w:rPr>
          <w:rFonts w:ascii="Times New Roman" w:hAnsi="Times New Roman"/>
          <w:iCs/>
          <w:sz w:val="24"/>
          <w:szCs w:val="24"/>
          <w:lang w:bidi="ru-RU"/>
        </w:rPr>
        <w:t>слабыми</w:t>
      </w: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метаболизаторами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. У этих лиц метаболизм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, вероятно, в основном катализируется CYP3A4. После однократного приема 40 мг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средняя площадь под кривой зависимости концентрации в плазме от времени была примерно в 6 раз выше у пациентов с медленным метаболизмом, чем у пациентов с функциональным ферментом CYP2C19 (экстенсивные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метаболизаторы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). Средние пиковые концентрации в плазме увеличились примерно на 60%. Эти результаты не имеют значения для дозировки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>.</w:t>
      </w:r>
    </w:p>
    <w:p w14:paraId="1EA34036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372879">
        <w:rPr>
          <w:rFonts w:ascii="Times New Roman" w:hAnsi="Times New Roman"/>
          <w:i/>
          <w:sz w:val="24"/>
          <w:szCs w:val="24"/>
          <w:lang w:bidi="ru-RU"/>
        </w:rPr>
        <w:t>Почечная недостаточность</w:t>
      </w:r>
    </w:p>
    <w:p w14:paraId="77E31462" w14:textId="77777777" w:rsid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Снижение дозы не рекомендуется при назначении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пациентам с нарушением функции почек (в т.ч. пациентам, находящимся на диализе). Как и у здоровых людей, период полувыведения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короткий. Диализу подвергаются лишь очень небольшие количества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. Хотя основной метаболит имеет умеренно замедленный период полувыведения (2–3 ч), выведение все равно происходит быстро, </w:t>
      </w:r>
      <w:r>
        <w:rPr>
          <w:rFonts w:ascii="Times New Roman" w:hAnsi="Times New Roman"/>
          <w:iCs/>
          <w:sz w:val="24"/>
          <w:szCs w:val="24"/>
          <w:lang w:bidi="ru-RU"/>
        </w:rPr>
        <w:t>следовательно</w:t>
      </w: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накопления не происходит.</w:t>
      </w:r>
    </w:p>
    <w:p w14:paraId="5D91D95A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372879">
        <w:rPr>
          <w:rFonts w:ascii="Times New Roman" w:hAnsi="Times New Roman"/>
          <w:i/>
          <w:sz w:val="24"/>
          <w:szCs w:val="24"/>
          <w:lang w:bidi="ru-RU"/>
        </w:rPr>
        <w:t>Печеночная недостаточность</w:t>
      </w:r>
    </w:p>
    <w:p w14:paraId="3F4C454F" w14:textId="77777777" w:rsid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Хотя у пациентов с циррозом печени (классы А и В по Чайлду) значения периода полувыведения увеличились до 7–9 часов, а значения AUC увеличились в 5–7 раз, максимальная концентрация в сыворотке крови увеличилась лишь незначительно, в 1,5 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раза </w:t>
      </w: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по сравнению со здоровыми </w:t>
      </w:r>
      <w:r>
        <w:rPr>
          <w:rFonts w:ascii="Times New Roman" w:hAnsi="Times New Roman"/>
          <w:iCs/>
          <w:sz w:val="24"/>
          <w:szCs w:val="24"/>
          <w:lang w:bidi="ru-RU"/>
        </w:rPr>
        <w:t>субъектами</w:t>
      </w:r>
      <w:r w:rsidRPr="00372879">
        <w:rPr>
          <w:rFonts w:ascii="Times New Roman" w:hAnsi="Times New Roman"/>
          <w:iCs/>
          <w:sz w:val="24"/>
          <w:szCs w:val="24"/>
          <w:lang w:bidi="ru-RU"/>
        </w:rPr>
        <w:t>.</w:t>
      </w:r>
    </w:p>
    <w:p w14:paraId="6C0BCBF3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372879">
        <w:rPr>
          <w:rFonts w:ascii="Times New Roman" w:hAnsi="Times New Roman"/>
          <w:i/>
          <w:sz w:val="24"/>
          <w:szCs w:val="24"/>
          <w:lang w:bidi="ru-RU"/>
        </w:rPr>
        <w:t>Пациенты пожилого возраста</w:t>
      </w:r>
    </w:p>
    <w:p w14:paraId="1B9C2AD5" w14:textId="77777777" w:rsid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Небольшое увеличение AUC и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C</w:t>
      </w:r>
      <w:r w:rsidRPr="00372879">
        <w:rPr>
          <w:rFonts w:ascii="Times New Roman" w:hAnsi="Times New Roman"/>
          <w:iCs/>
          <w:sz w:val="24"/>
          <w:szCs w:val="24"/>
          <w:vertAlign w:val="subscript"/>
          <w:lang w:bidi="ru-RU"/>
        </w:rPr>
        <w:t>max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у пожилых добровольцев по сравнению с более молодыми также не имеет клинического значения.</w:t>
      </w:r>
    </w:p>
    <w:p w14:paraId="5123E31A" w14:textId="77777777" w:rsidR="00372879" w:rsidRP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372879">
        <w:rPr>
          <w:rFonts w:ascii="Times New Roman" w:hAnsi="Times New Roman"/>
          <w:i/>
          <w:sz w:val="24"/>
          <w:szCs w:val="24"/>
          <w:lang w:bidi="ru-RU"/>
        </w:rPr>
        <w:t>Дети</w:t>
      </w:r>
    </w:p>
    <w:p w14:paraId="68CC3F59" w14:textId="77777777" w:rsidR="00372879" w:rsidRDefault="00372879" w:rsidP="0037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После однократного внутривенного введения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в дозе 0,8 или 1,6 мг/кг детям в возрасте от 2 до 16 лет не было выявлено значимой связи между клиренсом </w:t>
      </w:r>
      <w:proofErr w:type="spellStart"/>
      <w:r w:rsidRPr="00372879">
        <w:rPr>
          <w:rFonts w:ascii="Times New Roman" w:hAnsi="Times New Roman"/>
          <w:iCs/>
          <w:sz w:val="24"/>
          <w:szCs w:val="24"/>
          <w:lang w:bidi="ru-RU"/>
        </w:rPr>
        <w:t>пантопразола</w:t>
      </w:r>
      <w:proofErr w:type="spellEnd"/>
      <w:r w:rsidRPr="00372879">
        <w:rPr>
          <w:rFonts w:ascii="Times New Roman" w:hAnsi="Times New Roman"/>
          <w:iCs/>
          <w:sz w:val="24"/>
          <w:szCs w:val="24"/>
          <w:lang w:bidi="ru-RU"/>
        </w:rPr>
        <w:t xml:space="preserve"> и возрастом или массой тела. AUC и объем распределения соответствовали данным у взрослых.</w:t>
      </w:r>
    </w:p>
    <w:p w14:paraId="7EA7308A" w14:textId="77777777" w:rsidR="00372879" w:rsidRPr="00D20518" w:rsidRDefault="00372879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6EFE1DF5" w14:textId="77777777" w:rsidR="00DF3381" w:rsidRPr="00D20518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20518">
        <w:rPr>
          <w:rFonts w:ascii="Times New Roman" w:hAnsi="Times New Roman"/>
          <w:b/>
          <w:sz w:val="24"/>
          <w:szCs w:val="24"/>
          <w:lang w:eastAsia="ru-RU"/>
        </w:rPr>
        <w:t>5.3</w:t>
      </w:r>
      <w:r w:rsidR="00DF3381" w:rsidRPr="00D205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25D03BB6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Доклинические данные не выявили особой опасности для человека, основываясь на традиционных исследованиях фармакологической безопасности, токсичности повторных доз и </w:t>
      </w:r>
      <w:proofErr w:type="spellStart"/>
      <w:r w:rsidRPr="00B8706D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Pr="00B8706D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408F8AC3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В ходе двухлетних исследований канцерогенности на крысах были обнаружены нейроэндокринные новообразования. Кроме того, в </w:t>
      </w:r>
      <w:proofErr w:type="spellStart"/>
      <w:r w:rsidRPr="00B8706D">
        <w:rPr>
          <w:rFonts w:ascii="Times New Roman" w:hAnsi="Times New Roman"/>
          <w:iCs/>
          <w:sz w:val="24"/>
          <w:szCs w:val="24"/>
          <w:lang w:eastAsia="ru-RU"/>
        </w:rPr>
        <w:t>преджелудке</w:t>
      </w:r>
      <w:proofErr w:type="spellEnd"/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 крыс были обнаружены плоскоклеточные папилломы. Механизм, приводящий к образованию </w:t>
      </w:r>
      <w:proofErr w:type="spellStart"/>
      <w:r w:rsidRPr="00B8706D">
        <w:rPr>
          <w:rFonts w:ascii="Times New Roman" w:hAnsi="Times New Roman"/>
          <w:iCs/>
          <w:sz w:val="24"/>
          <w:szCs w:val="24"/>
          <w:lang w:eastAsia="ru-RU"/>
        </w:rPr>
        <w:t>карциноидов</w:t>
      </w:r>
      <w:proofErr w:type="spellEnd"/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 желудка под действием замещенных </w:t>
      </w:r>
      <w:proofErr w:type="spellStart"/>
      <w:r w:rsidRPr="00B8706D">
        <w:rPr>
          <w:rFonts w:ascii="Times New Roman" w:hAnsi="Times New Roman"/>
          <w:iCs/>
          <w:sz w:val="24"/>
          <w:szCs w:val="24"/>
          <w:lang w:eastAsia="ru-RU"/>
        </w:rPr>
        <w:t>бензимидазолов</w:t>
      </w:r>
      <w:proofErr w:type="spellEnd"/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, был тщательно исследован и позволяет сделать вывод, что это вторичная реакция на значительно повышенные уровни гастрина в сыворотке крови, возникающие у крыс во время хронического лечения высокими дозами. В ходе двухлетних исследований на грызунах у крыс и самок мышей наблюдалось увеличение количества опухолей печени, что было интерпретировано как следствие высокой скорости метаболизма </w:t>
      </w:r>
      <w:proofErr w:type="spellStart"/>
      <w:r w:rsidRPr="00B8706D">
        <w:rPr>
          <w:rFonts w:ascii="Times New Roman" w:hAnsi="Times New Roman"/>
          <w:iCs/>
          <w:sz w:val="24"/>
          <w:szCs w:val="24"/>
          <w:lang w:eastAsia="ru-RU"/>
        </w:rPr>
        <w:t>пантопразола</w:t>
      </w:r>
      <w:proofErr w:type="spellEnd"/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 в печени.</w:t>
      </w:r>
    </w:p>
    <w:p w14:paraId="5DCB25EB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Незначительное увеличение опухолевых изменений щитовидной железы наблюдалось в группе крыс, получавших максимальную дозу (200 мг/кг). Возникновение этих </w:t>
      </w:r>
      <w:r w:rsidRPr="00B8706D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новообразований связано с вызванными </w:t>
      </w:r>
      <w:proofErr w:type="spellStart"/>
      <w:r w:rsidRPr="00B8706D">
        <w:rPr>
          <w:rFonts w:ascii="Times New Roman" w:hAnsi="Times New Roman"/>
          <w:iCs/>
          <w:sz w:val="24"/>
          <w:szCs w:val="24"/>
          <w:lang w:eastAsia="ru-RU"/>
        </w:rPr>
        <w:t>пантопразолом</w:t>
      </w:r>
      <w:proofErr w:type="spellEnd"/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 изменениями распада тироксина в печени крыс. Поскольку терапевтическая доза для человека низкая, вредного воздействия на щитовидную железу не ожидается.</w:t>
      </w:r>
    </w:p>
    <w:p w14:paraId="557A825C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В исследованиях на репродукции животных признаки легкой </w:t>
      </w:r>
      <w:proofErr w:type="spellStart"/>
      <w:r w:rsidRPr="00B8706D">
        <w:rPr>
          <w:rFonts w:ascii="Times New Roman" w:hAnsi="Times New Roman"/>
          <w:iCs/>
          <w:sz w:val="24"/>
          <w:szCs w:val="24"/>
          <w:lang w:eastAsia="ru-RU"/>
        </w:rPr>
        <w:t>фетотоксичности</w:t>
      </w:r>
      <w:proofErr w:type="spellEnd"/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 наблюдались при дозах выше 5 мг/кг.</w:t>
      </w:r>
    </w:p>
    <w:p w14:paraId="57E7E307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8706D">
        <w:rPr>
          <w:rFonts w:ascii="Times New Roman" w:hAnsi="Times New Roman"/>
          <w:iCs/>
          <w:sz w:val="24"/>
          <w:szCs w:val="24"/>
          <w:lang w:eastAsia="ru-RU"/>
        </w:rPr>
        <w:t>Исследования не выявили никаких доказательств нарушения фертильности или тератогенных эффектов.</w:t>
      </w:r>
    </w:p>
    <w:p w14:paraId="75FD7B0D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Проникновение через плаценту исследовали на крысах, и было обнаружено, что оно увеличивается с увеличением срока беременности. В результате концентрация </w:t>
      </w:r>
      <w:proofErr w:type="spellStart"/>
      <w:r w:rsidRPr="00B8706D">
        <w:rPr>
          <w:rFonts w:ascii="Times New Roman" w:hAnsi="Times New Roman"/>
          <w:iCs/>
          <w:sz w:val="24"/>
          <w:szCs w:val="24"/>
          <w:lang w:eastAsia="ru-RU"/>
        </w:rPr>
        <w:t>пантопразола</w:t>
      </w:r>
      <w:proofErr w:type="spellEnd"/>
      <w:r w:rsidRPr="00B8706D">
        <w:rPr>
          <w:rFonts w:ascii="Times New Roman" w:hAnsi="Times New Roman"/>
          <w:iCs/>
          <w:sz w:val="24"/>
          <w:szCs w:val="24"/>
          <w:lang w:eastAsia="ru-RU"/>
        </w:rPr>
        <w:t xml:space="preserve"> у плода повышается незадолго до рождения.</w:t>
      </w:r>
    </w:p>
    <w:p w14:paraId="18669710" w14:textId="77777777" w:rsidR="00CE03E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8706D">
        <w:rPr>
          <w:rFonts w:ascii="Times New Roman" w:hAnsi="Times New Roman"/>
          <w:iCs/>
          <w:sz w:val="24"/>
          <w:szCs w:val="24"/>
          <w:lang w:eastAsia="ru-RU"/>
        </w:rPr>
        <w:t>Данные для оценки потенциального воздействия на окружающую среду в настоящее время ограничены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32BE05AC" w14:textId="77777777" w:rsidR="00B8706D" w:rsidRPr="00D20518" w:rsidRDefault="00B8706D" w:rsidP="00B870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EEC6E8D" w14:textId="77777777" w:rsidR="00DF3381" w:rsidRPr="00D2051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20518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0F59F39D" w14:textId="77777777" w:rsidR="005921EA" w:rsidRPr="00D20518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20518">
        <w:rPr>
          <w:rFonts w:ascii="Times New Roman" w:hAnsi="Times New Roman"/>
          <w:b/>
          <w:sz w:val="24"/>
          <w:szCs w:val="24"/>
          <w:lang w:eastAsia="ru-RU"/>
        </w:rPr>
        <w:t>6.1</w:t>
      </w:r>
      <w:r w:rsidR="00DF3381" w:rsidRPr="00D205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08E38017" w14:textId="77777777" w:rsidR="00D724CC" w:rsidRPr="00D724CC" w:rsidRDefault="00D724CC" w:rsidP="00D724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D724CC">
        <w:rPr>
          <w:rFonts w:ascii="Times New Roman" w:eastAsia="TimesNewRomanPSMT" w:hAnsi="Times New Roman"/>
          <w:sz w:val="24"/>
          <w:szCs w:val="24"/>
          <w:lang w:eastAsia="ru-RU"/>
        </w:rPr>
        <w:t>Динатрия</w:t>
      </w:r>
      <w:proofErr w:type="spellEnd"/>
      <w:r w:rsidRPr="00D724CC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Pr="00D724CC">
        <w:rPr>
          <w:rFonts w:ascii="Times New Roman" w:eastAsia="TimesNewRomanPSMT" w:hAnsi="Times New Roman"/>
          <w:sz w:val="24"/>
          <w:szCs w:val="24"/>
          <w:lang w:eastAsia="ru-RU"/>
        </w:rPr>
        <w:t>эдетат</w:t>
      </w:r>
      <w:proofErr w:type="spellEnd"/>
      <w:r w:rsidRPr="00D724CC">
        <w:rPr>
          <w:rFonts w:ascii="Times New Roman" w:eastAsia="TimesNewRomanPSMT" w:hAnsi="Times New Roman"/>
          <w:sz w:val="24"/>
          <w:szCs w:val="24"/>
          <w:lang w:eastAsia="ru-RU"/>
        </w:rPr>
        <w:t xml:space="preserve"> дигидрат</w:t>
      </w:r>
    </w:p>
    <w:p w14:paraId="1AB5B2B9" w14:textId="77777777" w:rsidR="00D724CC" w:rsidRPr="00D724CC" w:rsidRDefault="00D724CC" w:rsidP="00D724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724CC">
        <w:rPr>
          <w:rFonts w:ascii="Times New Roman" w:eastAsia="TimesNewRomanPSMT" w:hAnsi="Times New Roman"/>
          <w:sz w:val="24"/>
          <w:szCs w:val="24"/>
          <w:lang w:eastAsia="ru-RU"/>
        </w:rPr>
        <w:t>Натрия гидроксид</w:t>
      </w:r>
    </w:p>
    <w:p w14:paraId="479617CE" w14:textId="77777777" w:rsidR="00515826" w:rsidRDefault="00D724CC" w:rsidP="00D724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724CC">
        <w:rPr>
          <w:rFonts w:ascii="Times New Roman" w:eastAsia="TimesNewRomanPSMT" w:hAnsi="Times New Roman"/>
          <w:sz w:val="24"/>
          <w:szCs w:val="24"/>
          <w:lang w:eastAsia="ru-RU"/>
        </w:rPr>
        <w:t>Вода для инъекций</w:t>
      </w:r>
    </w:p>
    <w:p w14:paraId="641C274E" w14:textId="77777777" w:rsidR="00D724CC" w:rsidRPr="00D20518" w:rsidRDefault="00D724CC" w:rsidP="00D7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71CC3A3" w14:textId="77777777" w:rsidR="00DF3381" w:rsidRPr="00D20518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20518">
        <w:rPr>
          <w:rFonts w:ascii="Times New Roman" w:hAnsi="Times New Roman"/>
          <w:b/>
          <w:sz w:val="24"/>
          <w:szCs w:val="24"/>
          <w:lang w:eastAsia="ru-RU"/>
        </w:rPr>
        <w:t>6.2</w:t>
      </w:r>
      <w:r w:rsidR="00DF3381" w:rsidRPr="00D205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158A1810" w14:textId="77777777" w:rsidR="00B8706D" w:rsidRDefault="00D724CC" w:rsidP="0078568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724CC"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</w:p>
    <w:p w14:paraId="6DC9DB1A" w14:textId="77777777" w:rsidR="00D724CC" w:rsidRPr="00D20518" w:rsidRDefault="00D724C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14:paraId="73E7649C" w14:textId="77777777" w:rsidR="009128A3" w:rsidRPr="00D20518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D20518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D20518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0518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0F0BB1BB" w14:textId="77777777" w:rsidR="00D724CC" w:rsidRPr="00D724CC" w:rsidRDefault="00D724CC" w:rsidP="00D724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24CC">
        <w:rPr>
          <w:rFonts w:ascii="Times New Roman" w:hAnsi="Times New Roman"/>
          <w:sz w:val="24"/>
          <w:szCs w:val="24"/>
          <w:lang w:bidi="ru-RU"/>
        </w:rPr>
        <w:t xml:space="preserve">2 года </w:t>
      </w:r>
    </w:p>
    <w:p w14:paraId="4EAE0C8E" w14:textId="77777777" w:rsidR="00515826" w:rsidRDefault="00D724CC" w:rsidP="00D724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24CC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06247137" w14:textId="77777777" w:rsidR="00D724CC" w:rsidRPr="00D20518" w:rsidRDefault="00D724CC" w:rsidP="00D724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18055A" w14:textId="77777777" w:rsidR="00632571" w:rsidRPr="00D20518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D20518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17921448" w14:textId="77777777" w:rsidR="00D724CC" w:rsidRPr="00D724CC" w:rsidRDefault="00D724CC" w:rsidP="00D7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24CC">
        <w:rPr>
          <w:rFonts w:ascii="Times New Roman" w:hAnsi="Times New Roman"/>
          <w:sz w:val="24"/>
          <w:szCs w:val="24"/>
        </w:rPr>
        <w:t>При температуре не выше 30 °С.</w:t>
      </w:r>
    </w:p>
    <w:p w14:paraId="5A20C5AD" w14:textId="77777777" w:rsidR="00D724CC" w:rsidRPr="00D724CC" w:rsidRDefault="00D724CC" w:rsidP="00D7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24CC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</w:p>
    <w:p w14:paraId="364C6E8A" w14:textId="77777777" w:rsidR="00515826" w:rsidRPr="00D20518" w:rsidRDefault="00515826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D39852B" w14:textId="77777777" w:rsidR="00B90A1E" w:rsidRPr="00D20518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20518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D205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E2FC7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12B67EB7" w14:textId="77777777" w:rsidR="00D724CC" w:rsidRPr="00D724CC" w:rsidRDefault="00D724CC" w:rsidP="00D7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Препарат помещают во флакон вместимостью 10 мл из прозрачного стекла типа I (по ФСША), укупоренный </w:t>
      </w:r>
      <w:proofErr w:type="spellStart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бромбутиловой</w:t>
      </w:r>
      <w:proofErr w:type="spellEnd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резиновой пробкой, обжатый алюминиевым колпачком и запечатанный </w:t>
      </w:r>
      <w:proofErr w:type="spellStart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полипро-пиленовым</w:t>
      </w:r>
      <w:proofErr w:type="spellEnd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колпачком типа «</w:t>
      </w:r>
      <w:proofErr w:type="spellStart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flip-off</w:t>
      </w:r>
      <w:proofErr w:type="spellEnd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». </w:t>
      </w:r>
    </w:p>
    <w:p w14:paraId="7E27FFE1" w14:textId="77777777" w:rsidR="00515826" w:rsidRDefault="00D724CC" w:rsidP="00D7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По 1 или 10 флаконов вместе с инструкцией по медицинскому применению на казахском и русском языках вкладывают в пачку из картона.</w:t>
      </w:r>
    </w:p>
    <w:p w14:paraId="5F904CED" w14:textId="77777777" w:rsidR="00D724CC" w:rsidRPr="00D20518" w:rsidRDefault="00D724CC" w:rsidP="00D7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DE41968" w14:textId="77777777" w:rsidR="00B90A1E" w:rsidRPr="00D20518" w:rsidRDefault="00515826" w:rsidP="005158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20518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="00B90A1E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="00B90A1E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="00B90A1E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</w:t>
      </w:r>
      <w:r w:rsidR="00881BDD" w:rsidRPr="00D20518">
        <w:rPr>
          <w:rFonts w:ascii="Times New Roman" w:eastAsia="TimesNewRomanPSMT" w:hAnsi="Times New Roman"/>
          <w:b/>
          <w:sz w:val="24"/>
          <w:szCs w:val="24"/>
          <w:lang w:eastAsia="ru-RU"/>
        </w:rPr>
        <w:t>парата или работы с ним</w:t>
      </w:r>
    </w:p>
    <w:p w14:paraId="72AF878A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06D">
        <w:rPr>
          <w:rFonts w:ascii="Times New Roman" w:hAnsi="Times New Roman"/>
          <w:sz w:val="24"/>
          <w:szCs w:val="24"/>
        </w:rPr>
        <w:t xml:space="preserve">Готовый к применению раствор готовят путем введения во флакон с порошком 10 мл раствора хлорида натрия 9 мг/мл (0,9 %) для инъекций. </w:t>
      </w:r>
      <w:bookmarkStart w:id="50" w:name="_Hlk170899799"/>
      <w:r w:rsidRPr="00B8706D">
        <w:rPr>
          <w:rFonts w:ascii="Times New Roman" w:hAnsi="Times New Roman"/>
          <w:sz w:val="24"/>
          <w:szCs w:val="24"/>
        </w:rPr>
        <w:t>Внешний вид продукта после восстановления представляет собой прозрачный коричневатый раствор.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06D">
        <w:rPr>
          <w:rFonts w:ascii="Times New Roman" w:hAnsi="Times New Roman"/>
          <w:sz w:val="24"/>
          <w:szCs w:val="24"/>
        </w:rPr>
        <w:t>Не используйте, если в восстановленном растворе присутствуют какие-либо частицы. Этот раствор можно вводить непосредственно или после смешивания со 100 мл раствора хлорида натрия 9 мг/мл (0,9 %) для инъекций или раствора глюкозы 50 мг/мл (5 %) для инъекций.</w:t>
      </w:r>
    </w:p>
    <w:p w14:paraId="52EFB464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06D">
        <w:rPr>
          <w:rFonts w:ascii="Times New Roman" w:hAnsi="Times New Roman"/>
          <w:sz w:val="24"/>
          <w:szCs w:val="24"/>
        </w:rPr>
        <w:t>Восстановленный раствор 40 мг/10 мл стабилен в течение 24 часов после первоначального прокола пробки.</w:t>
      </w:r>
    </w:p>
    <w:p w14:paraId="50E83286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06D">
        <w:rPr>
          <w:rFonts w:ascii="Times New Roman" w:hAnsi="Times New Roman"/>
          <w:sz w:val="24"/>
          <w:szCs w:val="24"/>
        </w:rPr>
        <w:t>Химическая и физическая стабильность при применении была продемонстрирована в течение 12 часов при температуре 25°C после разведения раствором хлорида натрия 9 мг/мл (0,9%) и раствором глюкозы 50 мг/мл (5%).</w:t>
      </w:r>
    </w:p>
    <w:p w14:paraId="76E7227B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06D">
        <w:rPr>
          <w:rFonts w:ascii="Times New Roman" w:hAnsi="Times New Roman"/>
          <w:sz w:val="24"/>
          <w:szCs w:val="24"/>
        </w:rPr>
        <w:lastRenderedPageBreak/>
        <w:t>Разведенные растворы натрия хлорида 9 мг/мл (0,9%) и раствора декстрозы 50 мг/мл (5%) в концентрациях в дозах 80 и 160 мг стабильны в течение 15 минут.</w:t>
      </w:r>
    </w:p>
    <w:p w14:paraId="1C22C6CA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06D">
        <w:rPr>
          <w:rFonts w:ascii="Times New Roman" w:hAnsi="Times New Roman"/>
          <w:sz w:val="24"/>
          <w:szCs w:val="24"/>
        </w:rPr>
        <w:t>С микробиологической точки зрения продукт следует использовать немедленно (см. раздел 6.3).</w:t>
      </w:r>
    </w:p>
    <w:p w14:paraId="7D3101D4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706D">
        <w:rPr>
          <w:rFonts w:ascii="Times New Roman" w:hAnsi="Times New Roman"/>
          <w:sz w:val="24"/>
          <w:szCs w:val="24"/>
        </w:rPr>
        <w:t>Пантопразол</w:t>
      </w:r>
      <w:proofErr w:type="spellEnd"/>
      <w:r w:rsidRPr="00B8706D">
        <w:rPr>
          <w:rFonts w:ascii="Times New Roman" w:hAnsi="Times New Roman"/>
          <w:sz w:val="24"/>
          <w:szCs w:val="24"/>
        </w:rPr>
        <w:t xml:space="preserve"> не следует готовить или смешивать с другими растворителями, кроме указанных.</w:t>
      </w:r>
    </w:p>
    <w:p w14:paraId="5C202909" w14:textId="77777777" w:rsidR="00B8706D" w:rsidRPr="00B8706D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06D">
        <w:rPr>
          <w:rFonts w:ascii="Times New Roman" w:hAnsi="Times New Roman"/>
          <w:sz w:val="24"/>
          <w:szCs w:val="24"/>
        </w:rPr>
        <w:t>Лекарство следует вводить внутривенно в течение 2-15 минут.</w:t>
      </w:r>
    </w:p>
    <w:p w14:paraId="58D32465" w14:textId="77777777" w:rsidR="00515826" w:rsidRDefault="00B8706D" w:rsidP="00B8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06D">
        <w:rPr>
          <w:rFonts w:ascii="Times New Roman" w:hAnsi="Times New Roman"/>
          <w:sz w:val="24"/>
          <w:szCs w:val="24"/>
        </w:rPr>
        <w:t>Содержимое флакона предназначено только для одноразового использования. Любой продукт, оставшийся в контейнере, следует утилизировать в соответствии с местными требованиями.</w:t>
      </w:r>
    </w:p>
    <w:bookmarkEnd w:id="50"/>
    <w:p w14:paraId="372826A3" w14:textId="77777777" w:rsidR="00B8706D" w:rsidRPr="00D20518" w:rsidRDefault="00B8706D" w:rsidP="00B870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5EFCEE" w14:textId="77777777" w:rsidR="00724DB0" w:rsidRPr="00D20518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0518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D20518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D20518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D20518">
        <w:rPr>
          <w:rFonts w:ascii="Times New Roman" w:hAnsi="Times New Roman"/>
          <w:b/>
          <w:bCs/>
          <w:sz w:val="24"/>
          <w:szCs w:val="24"/>
        </w:rPr>
        <w:t>а</w:t>
      </w:r>
      <w:r w:rsidRPr="00D20518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D205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919F567" w14:textId="77777777" w:rsidR="004200EA" w:rsidRPr="00D20518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20518">
        <w:rPr>
          <w:rFonts w:ascii="Times New Roman" w:hAnsi="Times New Roman"/>
          <w:bCs/>
          <w:sz w:val="24"/>
          <w:szCs w:val="24"/>
        </w:rPr>
        <w:t>По рецепту</w:t>
      </w:r>
    </w:p>
    <w:p w14:paraId="03E83A14" w14:textId="77777777" w:rsidR="00D041C3" w:rsidRPr="00D20518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08B394" w14:textId="77777777" w:rsidR="00120934" w:rsidRPr="00D20518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D205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0BDE3C50" w14:textId="77777777" w:rsidR="00D724CC" w:rsidRPr="00D724CC" w:rsidRDefault="00D724CC" w:rsidP="00D724C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ТОО «Rogers Pharma», Казахстан</w:t>
      </w:r>
    </w:p>
    <w:p w14:paraId="67BC932A" w14:textId="77777777" w:rsidR="00D724CC" w:rsidRPr="00D724CC" w:rsidRDefault="00D724CC" w:rsidP="00D724C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050043, г. Алматы, мкн. </w:t>
      </w:r>
      <w:proofErr w:type="spellStart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Мирас</w:t>
      </w:r>
      <w:proofErr w:type="spellEnd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157, </w:t>
      </w:r>
      <w:proofErr w:type="spellStart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н.п</w:t>
      </w:r>
      <w:proofErr w:type="spellEnd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. 819</w:t>
      </w:r>
    </w:p>
    <w:p w14:paraId="4866A4C0" w14:textId="77777777" w:rsidR="00215CBB" w:rsidRDefault="00D724CC" w:rsidP="00D724C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Тел</w:t>
      </w:r>
      <w:r w:rsidRPr="00D724CC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. +7 (727) 311-81-96/97, e-mail: </w:t>
      </w:r>
      <w:hyperlink r:id="rId9" w:history="1">
        <w:r w:rsidRPr="0005682A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office.secretary@rogersgroup.in</w:t>
        </w:r>
      </w:hyperlink>
    </w:p>
    <w:p w14:paraId="24CB2235" w14:textId="77777777" w:rsidR="00D724CC" w:rsidRPr="00D724CC" w:rsidRDefault="00D724CC" w:rsidP="00D724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1FEC1788" w14:textId="77777777" w:rsidR="00593F7B" w:rsidRPr="00D20518" w:rsidRDefault="00515826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</w:t>
      </w:r>
      <w:r w:rsidR="00593F7B"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ПРЕДСТАВИТЕЛЬ ДЕРЖАТЕЛЯ РЕГИСТРАЦИОННОГО УДОСТОВЕРЕНИЯ</w:t>
      </w:r>
    </w:p>
    <w:p w14:paraId="3F4F92CD" w14:textId="77777777" w:rsidR="00D724CC" w:rsidRPr="00D724CC" w:rsidRDefault="00D724CC" w:rsidP="00D724C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Претензии потребителей направлять по адресу:</w:t>
      </w:r>
    </w:p>
    <w:p w14:paraId="6ABF8681" w14:textId="77777777" w:rsidR="00D724CC" w:rsidRPr="00D724CC" w:rsidRDefault="00D724CC" w:rsidP="00D724C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ТОО «Rogers Pharma», Казахстан</w:t>
      </w:r>
    </w:p>
    <w:p w14:paraId="5098005E" w14:textId="77777777" w:rsidR="00D724CC" w:rsidRPr="00D724CC" w:rsidRDefault="00D724CC" w:rsidP="00D724C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050043, г. Алматы, мкн. </w:t>
      </w:r>
      <w:proofErr w:type="spellStart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Мирас</w:t>
      </w:r>
      <w:proofErr w:type="spellEnd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157, </w:t>
      </w:r>
      <w:proofErr w:type="spellStart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н.п</w:t>
      </w:r>
      <w:proofErr w:type="spellEnd"/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. 819</w:t>
      </w:r>
    </w:p>
    <w:p w14:paraId="7252F980" w14:textId="77777777" w:rsidR="00215CBB" w:rsidRPr="00117FF8" w:rsidRDefault="00D724CC" w:rsidP="00D724C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D724CC">
        <w:rPr>
          <w:rFonts w:ascii="Times New Roman" w:eastAsia="Microsoft Sans Serif" w:hAnsi="Times New Roman"/>
          <w:sz w:val="24"/>
          <w:szCs w:val="24"/>
          <w:lang w:eastAsia="ru-RU" w:bidi="ru-RU"/>
        </w:rPr>
        <w:t>Тел</w:t>
      </w:r>
      <w:r w:rsidRPr="00117FF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. +7 (727) 311-81-96/97, </w:t>
      </w:r>
      <w:r w:rsidRPr="00D724CC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e</w:t>
      </w:r>
      <w:r w:rsidRPr="00117FF8">
        <w:rPr>
          <w:rFonts w:ascii="Times New Roman" w:eastAsia="Microsoft Sans Serif" w:hAnsi="Times New Roman"/>
          <w:sz w:val="24"/>
          <w:szCs w:val="24"/>
          <w:lang w:eastAsia="ru-RU" w:bidi="ru-RU"/>
        </w:rPr>
        <w:t>-</w:t>
      </w:r>
      <w:r w:rsidRPr="00D724CC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mail</w:t>
      </w:r>
      <w:r w:rsidRPr="00117FF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: </w:t>
      </w:r>
      <w:hyperlink r:id="rId10" w:history="1">
        <w:r w:rsidRPr="0005682A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office</w:t>
        </w:r>
        <w:r w:rsidRPr="00117FF8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.</w:t>
        </w:r>
        <w:r w:rsidRPr="0005682A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secretary</w:t>
        </w:r>
        <w:r w:rsidRPr="00117FF8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@</w:t>
        </w:r>
        <w:proofErr w:type="spellStart"/>
        <w:r w:rsidRPr="0005682A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rogersgroup</w:t>
        </w:r>
        <w:proofErr w:type="spellEnd"/>
        <w:r w:rsidRPr="00117FF8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.</w:t>
        </w:r>
        <w:r w:rsidRPr="0005682A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in</w:t>
        </w:r>
      </w:hyperlink>
    </w:p>
    <w:p w14:paraId="743A9E28" w14:textId="77777777" w:rsidR="00D724CC" w:rsidRPr="00117FF8" w:rsidRDefault="00D724CC" w:rsidP="00D724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D24BB6" w14:textId="77777777" w:rsidR="002511DF" w:rsidRPr="00117FF8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29AF3D3D" w14:textId="6DF28043" w:rsidR="00215CBB" w:rsidRDefault="003317ED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3317E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РК-ЛС-5№026478</w:t>
      </w:r>
    </w:p>
    <w:p w14:paraId="0B2F77AA" w14:textId="77777777" w:rsidR="003317ED" w:rsidRPr="003317ED" w:rsidRDefault="003317ED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42CD28DF" w14:textId="2DDECEF1" w:rsidR="002511DF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D2051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D205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57B5CED0" w14:textId="2EA359BB" w:rsidR="003317ED" w:rsidRPr="003317ED" w:rsidRDefault="003317ED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3317E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03.02.2025</w:t>
      </w:r>
    </w:p>
    <w:p w14:paraId="53A5D970" w14:textId="77777777" w:rsidR="00B91443" w:rsidRPr="00D20518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1C938325" w14:textId="77777777" w:rsidR="00DF47EB" w:rsidRPr="00D20518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D20518">
        <w:rPr>
          <w:rFonts w:ascii="Times New Roman" w:hAnsi="Times New Roman"/>
          <w:b/>
          <w:sz w:val="24"/>
          <w:szCs w:val="24"/>
        </w:rPr>
        <w:t xml:space="preserve">10. </w:t>
      </w:r>
      <w:r w:rsidRPr="00D20518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621AD3AB" w14:textId="77777777" w:rsidR="00B91443" w:rsidRPr="00D20518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D20518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D20518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D20518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D20518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D2051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D20518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D2051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D20518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D20518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D20518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9CD47" w14:textId="77777777" w:rsidR="00C0510C" w:rsidRDefault="00C0510C" w:rsidP="00D275FC">
      <w:pPr>
        <w:spacing w:after="0" w:line="240" w:lineRule="auto"/>
      </w:pPr>
      <w:r>
        <w:separator/>
      </w:r>
    </w:p>
  </w:endnote>
  <w:endnote w:type="continuationSeparator" w:id="0">
    <w:p w14:paraId="558D8424" w14:textId="77777777" w:rsidR="00C0510C" w:rsidRDefault="00C0510C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70BE" w14:textId="77777777" w:rsidR="00C0510C" w:rsidRDefault="00C0510C" w:rsidP="00D275FC">
      <w:pPr>
        <w:spacing w:after="0" w:line="240" w:lineRule="auto"/>
      </w:pPr>
      <w:r>
        <w:separator/>
      </w:r>
    </w:p>
  </w:footnote>
  <w:footnote w:type="continuationSeparator" w:id="0">
    <w:p w14:paraId="681E0A79" w14:textId="77777777" w:rsidR="00C0510C" w:rsidRDefault="00C0510C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EA45" w14:textId="77777777" w:rsidR="00D275FC" w:rsidRDefault="005C108C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1D49E3" wp14:editId="54A86BFF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43EA01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D49E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5C43EA01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10A93"/>
    <w:rsid w:val="0002049D"/>
    <w:rsid w:val="000264BB"/>
    <w:rsid w:val="00026A9C"/>
    <w:rsid w:val="00033FC1"/>
    <w:rsid w:val="00042999"/>
    <w:rsid w:val="0005238D"/>
    <w:rsid w:val="00074AAE"/>
    <w:rsid w:val="000852A1"/>
    <w:rsid w:val="000972E6"/>
    <w:rsid w:val="000A0D71"/>
    <w:rsid w:val="000A15B0"/>
    <w:rsid w:val="000A272B"/>
    <w:rsid w:val="000C2C4B"/>
    <w:rsid w:val="000C3EBE"/>
    <w:rsid w:val="000C4C48"/>
    <w:rsid w:val="000D184E"/>
    <w:rsid w:val="000D457D"/>
    <w:rsid w:val="000E01AB"/>
    <w:rsid w:val="000E153C"/>
    <w:rsid w:val="000E3634"/>
    <w:rsid w:val="000E49F0"/>
    <w:rsid w:val="000E6126"/>
    <w:rsid w:val="00100406"/>
    <w:rsid w:val="00102F0D"/>
    <w:rsid w:val="00107A8A"/>
    <w:rsid w:val="00111788"/>
    <w:rsid w:val="00117FF8"/>
    <w:rsid w:val="00120934"/>
    <w:rsid w:val="00123DB5"/>
    <w:rsid w:val="00125232"/>
    <w:rsid w:val="00132B9A"/>
    <w:rsid w:val="001368AE"/>
    <w:rsid w:val="00144CCD"/>
    <w:rsid w:val="0014699B"/>
    <w:rsid w:val="0014739A"/>
    <w:rsid w:val="0015490C"/>
    <w:rsid w:val="001573E2"/>
    <w:rsid w:val="0016278D"/>
    <w:rsid w:val="00164E5D"/>
    <w:rsid w:val="001872CE"/>
    <w:rsid w:val="00192A64"/>
    <w:rsid w:val="001937AD"/>
    <w:rsid w:val="001A26AE"/>
    <w:rsid w:val="001A2CB2"/>
    <w:rsid w:val="001A3A84"/>
    <w:rsid w:val="001B4586"/>
    <w:rsid w:val="001B6AEC"/>
    <w:rsid w:val="001D0B84"/>
    <w:rsid w:val="001E2FC7"/>
    <w:rsid w:val="001E5E2A"/>
    <w:rsid w:val="001E6F4C"/>
    <w:rsid w:val="001F16AA"/>
    <w:rsid w:val="00200F3B"/>
    <w:rsid w:val="00203355"/>
    <w:rsid w:val="0020414E"/>
    <w:rsid w:val="00211005"/>
    <w:rsid w:val="0021309A"/>
    <w:rsid w:val="00215CBB"/>
    <w:rsid w:val="00217D41"/>
    <w:rsid w:val="002222A9"/>
    <w:rsid w:val="00222CA6"/>
    <w:rsid w:val="00232642"/>
    <w:rsid w:val="00237697"/>
    <w:rsid w:val="002410EA"/>
    <w:rsid w:val="00250EDB"/>
    <w:rsid w:val="002511DF"/>
    <w:rsid w:val="00253209"/>
    <w:rsid w:val="00256E10"/>
    <w:rsid w:val="00260413"/>
    <w:rsid w:val="00260EBC"/>
    <w:rsid w:val="00264710"/>
    <w:rsid w:val="00264A6E"/>
    <w:rsid w:val="00267567"/>
    <w:rsid w:val="00270B0A"/>
    <w:rsid w:val="00280121"/>
    <w:rsid w:val="00281FBE"/>
    <w:rsid w:val="00290D2E"/>
    <w:rsid w:val="00292715"/>
    <w:rsid w:val="002A591C"/>
    <w:rsid w:val="002B0E10"/>
    <w:rsid w:val="002C10E1"/>
    <w:rsid w:val="002C15EB"/>
    <w:rsid w:val="002C1660"/>
    <w:rsid w:val="002C35A2"/>
    <w:rsid w:val="002C5345"/>
    <w:rsid w:val="002D56B7"/>
    <w:rsid w:val="002E04B7"/>
    <w:rsid w:val="002E0BAD"/>
    <w:rsid w:val="002F4A14"/>
    <w:rsid w:val="003043BF"/>
    <w:rsid w:val="00320073"/>
    <w:rsid w:val="00321EEA"/>
    <w:rsid w:val="003262DF"/>
    <w:rsid w:val="003317ED"/>
    <w:rsid w:val="00332951"/>
    <w:rsid w:val="0034682B"/>
    <w:rsid w:val="00356237"/>
    <w:rsid w:val="0036288F"/>
    <w:rsid w:val="00365B10"/>
    <w:rsid w:val="00367BA7"/>
    <w:rsid w:val="00372082"/>
    <w:rsid w:val="00372879"/>
    <w:rsid w:val="003761C0"/>
    <w:rsid w:val="00381140"/>
    <w:rsid w:val="003812B2"/>
    <w:rsid w:val="00383CDB"/>
    <w:rsid w:val="00384EFD"/>
    <w:rsid w:val="0038595A"/>
    <w:rsid w:val="003879F9"/>
    <w:rsid w:val="003976C7"/>
    <w:rsid w:val="003A035E"/>
    <w:rsid w:val="003A577F"/>
    <w:rsid w:val="003B0285"/>
    <w:rsid w:val="003C07E3"/>
    <w:rsid w:val="003C2B8F"/>
    <w:rsid w:val="003C659E"/>
    <w:rsid w:val="003E13CF"/>
    <w:rsid w:val="003E4F5E"/>
    <w:rsid w:val="003F5344"/>
    <w:rsid w:val="003F7EDC"/>
    <w:rsid w:val="00404548"/>
    <w:rsid w:val="0041162E"/>
    <w:rsid w:val="004125D8"/>
    <w:rsid w:val="004200EA"/>
    <w:rsid w:val="0042786D"/>
    <w:rsid w:val="004318DB"/>
    <w:rsid w:val="00433C62"/>
    <w:rsid w:val="004467FA"/>
    <w:rsid w:val="004528E1"/>
    <w:rsid w:val="00456F01"/>
    <w:rsid w:val="00472EF5"/>
    <w:rsid w:val="0048687C"/>
    <w:rsid w:val="0049318D"/>
    <w:rsid w:val="004A31B4"/>
    <w:rsid w:val="004A7038"/>
    <w:rsid w:val="004C1922"/>
    <w:rsid w:val="004C462F"/>
    <w:rsid w:val="004C6613"/>
    <w:rsid w:val="004D49E9"/>
    <w:rsid w:val="004D63B6"/>
    <w:rsid w:val="004F45AC"/>
    <w:rsid w:val="00506C9D"/>
    <w:rsid w:val="005071DA"/>
    <w:rsid w:val="00515826"/>
    <w:rsid w:val="0052114C"/>
    <w:rsid w:val="00523D82"/>
    <w:rsid w:val="00541A00"/>
    <w:rsid w:val="005444B2"/>
    <w:rsid w:val="00552F31"/>
    <w:rsid w:val="00552F8B"/>
    <w:rsid w:val="00561FE7"/>
    <w:rsid w:val="00566737"/>
    <w:rsid w:val="00567153"/>
    <w:rsid w:val="00575348"/>
    <w:rsid w:val="005869C5"/>
    <w:rsid w:val="005921EA"/>
    <w:rsid w:val="005924F5"/>
    <w:rsid w:val="00593F7B"/>
    <w:rsid w:val="005A3C81"/>
    <w:rsid w:val="005A5680"/>
    <w:rsid w:val="005A6639"/>
    <w:rsid w:val="005A6914"/>
    <w:rsid w:val="005B3FFE"/>
    <w:rsid w:val="005B6D05"/>
    <w:rsid w:val="005B7F9D"/>
    <w:rsid w:val="005C108C"/>
    <w:rsid w:val="005C1519"/>
    <w:rsid w:val="005C1C4E"/>
    <w:rsid w:val="005C4994"/>
    <w:rsid w:val="005C4A16"/>
    <w:rsid w:val="005D66F3"/>
    <w:rsid w:val="005D68C6"/>
    <w:rsid w:val="005D7EE3"/>
    <w:rsid w:val="005E50DE"/>
    <w:rsid w:val="005E7569"/>
    <w:rsid w:val="005E76DA"/>
    <w:rsid w:val="005F7097"/>
    <w:rsid w:val="0060364A"/>
    <w:rsid w:val="00604FC8"/>
    <w:rsid w:val="00617843"/>
    <w:rsid w:val="00620F34"/>
    <w:rsid w:val="00622A27"/>
    <w:rsid w:val="0062497F"/>
    <w:rsid w:val="00624C1B"/>
    <w:rsid w:val="00625471"/>
    <w:rsid w:val="0062661D"/>
    <w:rsid w:val="00627853"/>
    <w:rsid w:val="00632571"/>
    <w:rsid w:val="00634D0C"/>
    <w:rsid w:val="0065148D"/>
    <w:rsid w:val="00652BCE"/>
    <w:rsid w:val="00652E29"/>
    <w:rsid w:val="00653617"/>
    <w:rsid w:val="00654D3B"/>
    <w:rsid w:val="0067136B"/>
    <w:rsid w:val="00691208"/>
    <w:rsid w:val="006A23C4"/>
    <w:rsid w:val="006A475E"/>
    <w:rsid w:val="006A702E"/>
    <w:rsid w:val="006B1751"/>
    <w:rsid w:val="006B7A90"/>
    <w:rsid w:val="006C5F38"/>
    <w:rsid w:val="006D5986"/>
    <w:rsid w:val="006D7D5A"/>
    <w:rsid w:val="006E4305"/>
    <w:rsid w:val="006F5763"/>
    <w:rsid w:val="00704BAB"/>
    <w:rsid w:val="007104D1"/>
    <w:rsid w:val="007135A6"/>
    <w:rsid w:val="00724DB0"/>
    <w:rsid w:val="00726BD3"/>
    <w:rsid w:val="00730461"/>
    <w:rsid w:val="00733A73"/>
    <w:rsid w:val="00746FF2"/>
    <w:rsid w:val="007479AE"/>
    <w:rsid w:val="00752A69"/>
    <w:rsid w:val="00761133"/>
    <w:rsid w:val="00764E84"/>
    <w:rsid w:val="007762F8"/>
    <w:rsid w:val="00783520"/>
    <w:rsid w:val="0078568D"/>
    <w:rsid w:val="007A02D3"/>
    <w:rsid w:val="007A18B1"/>
    <w:rsid w:val="007B011E"/>
    <w:rsid w:val="007C055A"/>
    <w:rsid w:val="007C1693"/>
    <w:rsid w:val="007D0E84"/>
    <w:rsid w:val="007D681B"/>
    <w:rsid w:val="007E1D85"/>
    <w:rsid w:val="00803517"/>
    <w:rsid w:val="00804A48"/>
    <w:rsid w:val="008106A7"/>
    <w:rsid w:val="0081154A"/>
    <w:rsid w:val="00814DFC"/>
    <w:rsid w:val="00820B36"/>
    <w:rsid w:val="00827BB2"/>
    <w:rsid w:val="008329DA"/>
    <w:rsid w:val="00832A7E"/>
    <w:rsid w:val="008330E7"/>
    <w:rsid w:val="008353A4"/>
    <w:rsid w:val="008407EF"/>
    <w:rsid w:val="008418F5"/>
    <w:rsid w:val="008451C8"/>
    <w:rsid w:val="00847154"/>
    <w:rsid w:val="00862FA8"/>
    <w:rsid w:val="0086657B"/>
    <w:rsid w:val="0087104B"/>
    <w:rsid w:val="00881BDD"/>
    <w:rsid w:val="008832E5"/>
    <w:rsid w:val="008872AB"/>
    <w:rsid w:val="00891EB8"/>
    <w:rsid w:val="0089401D"/>
    <w:rsid w:val="00895628"/>
    <w:rsid w:val="00896B8C"/>
    <w:rsid w:val="00897669"/>
    <w:rsid w:val="008C0181"/>
    <w:rsid w:val="008C6434"/>
    <w:rsid w:val="008D0B8D"/>
    <w:rsid w:val="008D4451"/>
    <w:rsid w:val="008D62B7"/>
    <w:rsid w:val="008E19AE"/>
    <w:rsid w:val="008E6895"/>
    <w:rsid w:val="008F0721"/>
    <w:rsid w:val="00900B3C"/>
    <w:rsid w:val="00904FB5"/>
    <w:rsid w:val="0091136C"/>
    <w:rsid w:val="009128A3"/>
    <w:rsid w:val="00930D7D"/>
    <w:rsid w:val="0095047E"/>
    <w:rsid w:val="00956101"/>
    <w:rsid w:val="00957BAF"/>
    <w:rsid w:val="00962CD6"/>
    <w:rsid w:val="00974EE1"/>
    <w:rsid w:val="00980ED0"/>
    <w:rsid w:val="009832CC"/>
    <w:rsid w:val="00985916"/>
    <w:rsid w:val="00986783"/>
    <w:rsid w:val="00993A60"/>
    <w:rsid w:val="009A645B"/>
    <w:rsid w:val="009B014E"/>
    <w:rsid w:val="009C00B1"/>
    <w:rsid w:val="009D67EC"/>
    <w:rsid w:val="009D71D5"/>
    <w:rsid w:val="009E2887"/>
    <w:rsid w:val="009E56D6"/>
    <w:rsid w:val="009E5CB9"/>
    <w:rsid w:val="009F07F5"/>
    <w:rsid w:val="009F22EA"/>
    <w:rsid w:val="009F31F2"/>
    <w:rsid w:val="009F45A5"/>
    <w:rsid w:val="009F5A85"/>
    <w:rsid w:val="009F72B0"/>
    <w:rsid w:val="00A01C2E"/>
    <w:rsid w:val="00A02BB2"/>
    <w:rsid w:val="00A04052"/>
    <w:rsid w:val="00A04E7F"/>
    <w:rsid w:val="00A0709E"/>
    <w:rsid w:val="00A074C5"/>
    <w:rsid w:val="00A07B7D"/>
    <w:rsid w:val="00A12563"/>
    <w:rsid w:val="00A2021D"/>
    <w:rsid w:val="00A2498C"/>
    <w:rsid w:val="00A26BB4"/>
    <w:rsid w:val="00A300B9"/>
    <w:rsid w:val="00A31019"/>
    <w:rsid w:val="00A8360A"/>
    <w:rsid w:val="00A84EA1"/>
    <w:rsid w:val="00AA4618"/>
    <w:rsid w:val="00AA5E2F"/>
    <w:rsid w:val="00AA7317"/>
    <w:rsid w:val="00AC2C0B"/>
    <w:rsid w:val="00AC4905"/>
    <w:rsid w:val="00AE7922"/>
    <w:rsid w:val="00AF056B"/>
    <w:rsid w:val="00AF47AA"/>
    <w:rsid w:val="00B01011"/>
    <w:rsid w:val="00B05BD1"/>
    <w:rsid w:val="00B10089"/>
    <w:rsid w:val="00B21CF0"/>
    <w:rsid w:val="00B22E50"/>
    <w:rsid w:val="00B448DA"/>
    <w:rsid w:val="00B46F30"/>
    <w:rsid w:val="00B608C1"/>
    <w:rsid w:val="00B60D3D"/>
    <w:rsid w:val="00B61D95"/>
    <w:rsid w:val="00B7231F"/>
    <w:rsid w:val="00B8706D"/>
    <w:rsid w:val="00B90A1E"/>
    <w:rsid w:val="00B91443"/>
    <w:rsid w:val="00B9187F"/>
    <w:rsid w:val="00BA2BF3"/>
    <w:rsid w:val="00BB111F"/>
    <w:rsid w:val="00BB3050"/>
    <w:rsid w:val="00BB7831"/>
    <w:rsid w:val="00BC31BC"/>
    <w:rsid w:val="00BC6167"/>
    <w:rsid w:val="00BC6A01"/>
    <w:rsid w:val="00BE198F"/>
    <w:rsid w:val="00BE4435"/>
    <w:rsid w:val="00BE6B71"/>
    <w:rsid w:val="00C0510C"/>
    <w:rsid w:val="00C07BB3"/>
    <w:rsid w:val="00C153F2"/>
    <w:rsid w:val="00C2000E"/>
    <w:rsid w:val="00C379C9"/>
    <w:rsid w:val="00C422B8"/>
    <w:rsid w:val="00C566D6"/>
    <w:rsid w:val="00C60095"/>
    <w:rsid w:val="00C71E57"/>
    <w:rsid w:val="00C764D9"/>
    <w:rsid w:val="00C77910"/>
    <w:rsid w:val="00C837EF"/>
    <w:rsid w:val="00C839ED"/>
    <w:rsid w:val="00C84299"/>
    <w:rsid w:val="00C92F14"/>
    <w:rsid w:val="00C94B98"/>
    <w:rsid w:val="00C97365"/>
    <w:rsid w:val="00C978F5"/>
    <w:rsid w:val="00CA4C1A"/>
    <w:rsid w:val="00CC08BA"/>
    <w:rsid w:val="00CC330A"/>
    <w:rsid w:val="00CC5727"/>
    <w:rsid w:val="00CC7DBD"/>
    <w:rsid w:val="00CD6935"/>
    <w:rsid w:val="00CE03ED"/>
    <w:rsid w:val="00CE7F7F"/>
    <w:rsid w:val="00CF3849"/>
    <w:rsid w:val="00D0233C"/>
    <w:rsid w:val="00D041C3"/>
    <w:rsid w:val="00D11462"/>
    <w:rsid w:val="00D14D61"/>
    <w:rsid w:val="00D20518"/>
    <w:rsid w:val="00D22A47"/>
    <w:rsid w:val="00D25CB4"/>
    <w:rsid w:val="00D275FC"/>
    <w:rsid w:val="00D3279D"/>
    <w:rsid w:val="00D3576E"/>
    <w:rsid w:val="00D43297"/>
    <w:rsid w:val="00D46B0B"/>
    <w:rsid w:val="00D55ED8"/>
    <w:rsid w:val="00D60C5A"/>
    <w:rsid w:val="00D70DB6"/>
    <w:rsid w:val="00D723BC"/>
    <w:rsid w:val="00D724CC"/>
    <w:rsid w:val="00D76048"/>
    <w:rsid w:val="00D93C80"/>
    <w:rsid w:val="00D9686A"/>
    <w:rsid w:val="00D96A8F"/>
    <w:rsid w:val="00DA16F7"/>
    <w:rsid w:val="00DA7AF8"/>
    <w:rsid w:val="00DB406A"/>
    <w:rsid w:val="00DB7FB0"/>
    <w:rsid w:val="00DC0D7B"/>
    <w:rsid w:val="00DC2984"/>
    <w:rsid w:val="00DD5E3A"/>
    <w:rsid w:val="00DE4FC7"/>
    <w:rsid w:val="00DF11A7"/>
    <w:rsid w:val="00DF3381"/>
    <w:rsid w:val="00DF47EB"/>
    <w:rsid w:val="00E211ED"/>
    <w:rsid w:val="00E271CB"/>
    <w:rsid w:val="00E301D0"/>
    <w:rsid w:val="00E317B2"/>
    <w:rsid w:val="00E33FE3"/>
    <w:rsid w:val="00E34FE3"/>
    <w:rsid w:val="00E55D6C"/>
    <w:rsid w:val="00E57396"/>
    <w:rsid w:val="00E75FFF"/>
    <w:rsid w:val="00E81A1B"/>
    <w:rsid w:val="00E81A86"/>
    <w:rsid w:val="00E85A7A"/>
    <w:rsid w:val="00E8607B"/>
    <w:rsid w:val="00E91073"/>
    <w:rsid w:val="00E93583"/>
    <w:rsid w:val="00EA2F86"/>
    <w:rsid w:val="00EA303C"/>
    <w:rsid w:val="00EA6D39"/>
    <w:rsid w:val="00EB1D97"/>
    <w:rsid w:val="00EB32A3"/>
    <w:rsid w:val="00EB41C1"/>
    <w:rsid w:val="00EC480E"/>
    <w:rsid w:val="00EC4E42"/>
    <w:rsid w:val="00EE04FB"/>
    <w:rsid w:val="00EF4C53"/>
    <w:rsid w:val="00F006F1"/>
    <w:rsid w:val="00F05540"/>
    <w:rsid w:val="00F07B7B"/>
    <w:rsid w:val="00F23B95"/>
    <w:rsid w:val="00F34699"/>
    <w:rsid w:val="00F40388"/>
    <w:rsid w:val="00F42D3C"/>
    <w:rsid w:val="00F56F75"/>
    <w:rsid w:val="00F6012B"/>
    <w:rsid w:val="00F63389"/>
    <w:rsid w:val="00F665E0"/>
    <w:rsid w:val="00F91977"/>
    <w:rsid w:val="00F97B57"/>
    <w:rsid w:val="00FA4F7C"/>
    <w:rsid w:val="00FB0456"/>
    <w:rsid w:val="00FB47F4"/>
    <w:rsid w:val="00FC17F4"/>
    <w:rsid w:val="00FD2B12"/>
    <w:rsid w:val="00FD2B9F"/>
    <w:rsid w:val="00FD6FA9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77D5E"/>
  <w15:docId w15:val="{A3609ECC-BC20-417A-9E52-F17A2F9A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1B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D7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.secretary@rogersgroup.in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BDF7-DACA-41E7-9E5A-2C08E787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4314</Words>
  <Characters>24595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28852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4</cp:revision>
  <cp:lastPrinted>2019-11-18T07:17:00Z</cp:lastPrinted>
  <dcterms:created xsi:type="dcterms:W3CDTF">2024-08-23T14:13:00Z</dcterms:created>
  <dcterms:modified xsi:type="dcterms:W3CDTF">2025-06-17T11:38:00Z</dcterms:modified>
</cp:coreProperties>
</file>